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rsidP="00500DDB">
            <w:pPr>
              <w:spacing w:line="360" w:lineRule="auto"/>
              <w:jc w:val="both"/>
              <w:rPr>
                <w:rFonts w:ascii="Arial" w:hAnsi="Arial"/>
                <w:b/>
                <w:bCs/>
                <w:sz w:val="26"/>
                <w:szCs w:val="26"/>
              </w:rPr>
            </w:pPr>
            <w:bookmarkStart w:id="0" w:name="_GoBack"/>
            <w:bookmarkEnd w:id="0"/>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500DDB">
            <w:pPr>
              <w:spacing w:line="360" w:lineRule="auto"/>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אלון גביזון</w:t>
                </w:r>
              </w:sdtContent>
            </w:sdt>
          </w:p>
        </w:tc>
      </w:tr>
    </w:tbl>
    <w:p w:rsidR="00870F64" w:rsidRDefault="00870F64" w:rsidP="00500DDB">
      <w:pPr>
        <w:spacing w:line="360" w:lineRule="auto"/>
        <w:rPr>
          <w:rtl/>
        </w:rPr>
      </w:pPr>
    </w:p>
    <w:tbl>
      <w:tblPr>
        <w:tblStyle w:val="a5"/>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p w:rsidR="00870F64" w:rsidRPr="00587C90" w:rsidRDefault="0051562C" w:rsidP="00500DDB">
            <w:pPr>
              <w:spacing w:line="360" w:lineRule="auto"/>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500DDB">
            <w:pPr>
              <w:spacing w:line="360" w:lineRule="auto"/>
              <w:rPr>
                <w:rFonts w:ascii="David" w:hAnsi="David"/>
                <w:b/>
                <w:bCs/>
                <w:sz w:val="26"/>
                <w:szCs w:val="26"/>
                <w:rtl/>
              </w:rPr>
            </w:pPr>
          </w:p>
          <w:p w:rsidR="00EE7869" w:rsidRDefault="00494067" w:rsidP="00500DDB">
            <w:pPr>
              <w:spacing w:line="360" w:lineRule="auto"/>
              <w:rPr>
                <w:rFonts w:ascii="Arial" w:hAnsi="Arial"/>
                <w:b/>
                <w:bCs/>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r w:rsidR="006F6206">
              <w:rPr>
                <w:rFonts w:ascii="David" w:hAnsi="David" w:hint="cs"/>
                <w:sz w:val="26"/>
                <w:szCs w:val="26"/>
                <w:rtl/>
              </w:rPr>
              <w:t xml:space="preserve"> </w:t>
            </w:r>
          </w:p>
          <w:p w:rsidR="00870F64" w:rsidRPr="00587C90" w:rsidRDefault="006F6206" w:rsidP="00500DDB">
            <w:pPr>
              <w:spacing w:line="360" w:lineRule="auto"/>
              <w:rPr>
                <w:rFonts w:ascii="David" w:hAnsi="David"/>
                <w:b/>
                <w:bCs/>
                <w:sz w:val="26"/>
                <w:szCs w:val="26"/>
              </w:rPr>
            </w:pPr>
            <w:r>
              <w:rPr>
                <w:rFonts w:ascii="Arial" w:hAnsi="Arial"/>
                <w:b/>
                <w:bCs/>
                <w:sz w:val="26"/>
                <w:szCs w:val="26"/>
                <w:rtl/>
              </w:rPr>
              <w:t>ע"י ב"כ עוה"ד</w:t>
            </w:r>
            <w:r w:rsidR="00854C81">
              <w:rPr>
                <w:rFonts w:ascii="David" w:hAnsi="David" w:hint="cs"/>
                <w:b/>
                <w:bCs/>
                <w:sz w:val="26"/>
                <w:szCs w:val="26"/>
                <w:rtl/>
              </w:rPr>
              <w:t xml:space="preserve"> חיים שוויצר </w:t>
            </w:r>
          </w:p>
        </w:tc>
        <w:tc>
          <w:tcPr>
            <w:tcW w:w="3727"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500DDB">
            <w:pPr>
              <w:spacing w:line="360" w:lineRule="auto"/>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rsidP="00500DDB">
            <w:pPr>
              <w:spacing w:line="360" w:lineRule="auto"/>
              <w:jc w:val="center"/>
              <w:rPr>
                <w:rFonts w:ascii="David" w:hAnsi="David"/>
                <w:b/>
                <w:bCs/>
                <w:sz w:val="26"/>
                <w:szCs w:val="26"/>
                <w:rtl/>
              </w:rPr>
            </w:pPr>
          </w:p>
          <w:p w:rsidR="00870F64" w:rsidRPr="00587C90" w:rsidRDefault="0051562C" w:rsidP="00500DDB">
            <w:pPr>
              <w:spacing w:line="360" w:lineRule="auto"/>
              <w:jc w:val="center"/>
              <w:rPr>
                <w:rFonts w:ascii="David" w:hAnsi="David"/>
                <w:b/>
                <w:bCs/>
                <w:sz w:val="26"/>
                <w:szCs w:val="26"/>
                <w:rtl/>
              </w:rPr>
            </w:pPr>
            <w:r w:rsidRPr="00587C90">
              <w:rPr>
                <w:rFonts w:ascii="David" w:hAnsi="David"/>
                <w:b/>
                <w:bCs/>
                <w:sz w:val="26"/>
                <w:szCs w:val="26"/>
                <w:rtl/>
              </w:rPr>
              <w:t>נגד</w:t>
            </w:r>
          </w:p>
          <w:p w:rsidR="00870F64" w:rsidRPr="00587C90" w:rsidRDefault="00870F64" w:rsidP="00500DDB">
            <w:pPr>
              <w:spacing w:line="360" w:lineRule="auto"/>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tc>
        <w:tc>
          <w:tcPr>
            <w:tcW w:w="4241" w:type="dxa"/>
            <w:tcBorders>
              <w:top w:val="nil"/>
              <w:left w:val="nil"/>
              <w:bottom w:val="nil"/>
              <w:right w:val="nil"/>
            </w:tcBorders>
          </w:tcPr>
          <w:p w:rsidR="00EE7869" w:rsidRDefault="00494067" w:rsidP="00500DDB">
            <w:pPr>
              <w:spacing w:line="360" w:lineRule="auto"/>
              <w:rPr>
                <w:rFonts w:ascii="David" w:hAnsi="David"/>
                <w:sz w:val="26"/>
                <w:szCs w:val="26"/>
                <w:rtl/>
              </w:rPr>
            </w:pPr>
            <w:sdt>
              <w:sdtPr>
                <w:rPr>
                  <w:rFonts w:ascii="David" w:hAnsi="David"/>
                  <w:sz w:val="26"/>
                  <w:szCs w:val="26"/>
                  <w:rtl/>
                </w:rPr>
                <w:alias w:val="1486"/>
                <w:tag w:val="1486"/>
                <w:id w:val="1635441335"/>
                <w:text w:multiLine="1"/>
              </w:sdtPr>
              <w:sdtEndPr/>
              <w:sdtContent>
                <w:r w:rsidR="00843239">
                  <w:rPr>
                    <w:rFonts w:ascii="David" w:hAnsi="David"/>
                    <w:b/>
                    <w:bCs/>
                    <w:sz w:val="26"/>
                    <w:szCs w:val="26"/>
                    <w:rtl/>
                  </w:rPr>
                  <w:t>יבגני רודקו</w:t>
                </w:r>
                <w:r w:rsidR="00854C81">
                  <w:rPr>
                    <w:rFonts w:ascii="David" w:hAnsi="David"/>
                    <w:b/>
                    <w:bCs/>
                    <w:sz w:val="26"/>
                    <w:szCs w:val="26"/>
                    <w:rtl/>
                  </w:rPr>
                  <w:t>ב – בעצמו</w:t>
                </w:r>
              </w:sdtContent>
            </w:sdt>
          </w:p>
          <w:p w:rsidR="00870F64" w:rsidRPr="00587C90" w:rsidRDefault="006F6206" w:rsidP="00500DDB">
            <w:pPr>
              <w:spacing w:line="360" w:lineRule="auto"/>
              <w:rPr>
                <w:rFonts w:ascii="David" w:hAnsi="David"/>
                <w:b/>
                <w:bCs/>
                <w:sz w:val="26"/>
                <w:szCs w:val="26"/>
                <w:rtl/>
              </w:rPr>
            </w:pPr>
            <w:r>
              <w:rPr>
                <w:rFonts w:ascii="Arial" w:hAnsi="Arial"/>
                <w:b/>
                <w:bCs/>
                <w:sz w:val="26"/>
                <w:szCs w:val="26"/>
                <w:rtl/>
              </w:rPr>
              <w:t>ע"י ב"כ עוה"ד</w:t>
            </w:r>
            <w:r w:rsidR="00854C81">
              <w:rPr>
                <w:rFonts w:ascii="David" w:hAnsi="David" w:hint="cs"/>
                <w:b/>
                <w:bCs/>
                <w:sz w:val="26"/>
                <w:szCs w:val="26"/>
                <w:rtl/>
              </w:rPr>
              <w:t xml:space="preserve"> דמיטרי דוגמן </w:t>
            </w:r>
          </w:p>
        </w:tc>
        <w:tc>
          <w:tcPr>
            <w:tcW w:w="3727" w:type="dxa"/>
            <w:tcBorders>
              <w:top w:val="nil"/>
              <w:left w:val="nil"/>
              <w:bottom w:val="nil"/>
              <w:right w:val="nil"/>
            </w:tcBorders>
          </w:tcPr>
          <w:p w:rsidR="00870F64" w:rsidRPr="00587C90" w:rsidRDefault="00870F64" w:rsidP="00500DDB">
            <w:pPr>
              <w:spacing w:line="360" w:lineRule="auto"/>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rsidP="00500DDB">
            <w:pPr>
              <w:spacing w:line="360" w:lineRule="auto"/>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500DDB">
            <w:pPr>
              <w:spacing w:line="360" w:lineRule="auto"/>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sidR="00EE7869">
                  <w:rPr>
                    <w:rFonts w:ascii="David" w:hAnsi="David"/>
                    <w:b/>
                    <w:bCs/>
                    <w:sz w:val="26"/>
                    <w:szCs w:val="26"/>
                    <w:rtl/>
                  </w:rPr>
                  <w:t>נא</w:t>
                </w:r>
                <w:r w:rsidR="00EE7869">
                  <w:rPr>
                    <w:rFonts w:ascii="David" w:hAnsi="David" w:hint="cs"/>
                    <w:b/>
                    <w:bCs/>
                    <w:sz w:val="26"/>
                    <w:szCs w:val="26"/>
                    <w:rtl/>
                  </w:rPr>
                  <w:t>ש</w:t>
                </w:r>
                <w:r>
                  <w:rPr>
                    <w:rFonts w:ascii="David" w:hAnsi="David"/>
                    <w:b/>
                    <w:bCs/>
                    <w:sz w:val="26"/>
                    <w:szCs w:val="26"/>
                    <w:rtl/>
                  </w:rPr>
                  <w:t>ם</w:t>
                </w:r>
              </w:sdtContent>
            </w:sdt>
          </w:p>
        </w:tc>
      </w:tr>
    </w:tbl>
    <w:p w:rsidR="00870F64" w:rsidRDefault="00870F64" w:rsidP="00500DDB">
      <w:pPr>
        <w:spacing w:line="360" w:lineRule="auto"/>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EE7869" w:rsidRDefault="00EE7869" w:rsidP="00EE7869">
      <w:pPr>
        <w:rPr>
          <w:rFonts w:ascii="David" w:hAnsi="David"/>
          <w:b/>
          <w:bCs/>
          <w:u w:val="single"/>
          <w:rtl/>
        </w:rPr>
      </w:pPr>
      <w:r>
        <w:rPr>
          <w:rFonts w:ascii="David" w:hAnsi="David"/>
          <w:b/>
          <w:bCs/>
          <w:u w:val="single"/>
          <w:rtl/>
        </w:rPr>
        <w:t>מבוא:</w:t>
      </w:r>
    </w:p>
    <w:p w:rsidR="00EE7869" w:rsidRDefault="00EE7869" w:rsidP="00EE7869">
      <w:pPr>
        <w:rPr>
          <w:rFonts w:ascii="David" w:hAnsi="David"/>
          <w:b/>
          <w:bCs/>
          <w:u w:val="single"/>
          <w:rtl/>
        </w:rPr>
      </w:pPr>
    </w:p>
    <w:p w:rsidR="00EE7869" w:rsidRDefault="00EE7869" w:rsidP="00EE7869">
      <w:pPr>
        <w:rPr>
          <w:rFonts w:ascii="David" w:hAnsi="David"/>
          <w:b/>
          <w:bCs/>
          <w:u w:val="single"/>
          <w:rtl/>
        </w:rPr>
      </w:pPr>
    </w:p>
    <w:p w:rsidR="00EE7869" w:rsidRDefault="00EE7869" w:rsidP="00EE7869">
      <w:pPr>
        <w:spacing w:line="360" w:lineRule="auto"/>
        <w:ind w:left="720" w:hanging="720"/>
        <w:jc w:val="both"/>
        <w:rPr>
          <w:rFonts w:ascii="David" w:hAnsi="David"/>
          <w:rtl/>
        </w:rPr>
      </w:pPr>
      <w:r>
        <w:rPr>
          <w:rFonts w:ascii="David" w:hAnsi="David"/>
          <w:rtl/>
        </w:rPr>
        <w:t>1.</w:t>
      </w:r>
      <w:r>
        <w:rPr>
          <w:rFonts w:ascii="David" w:hAnsi="David"/>
          <w:rtl/>
        </w:rPr>
        <w:tab/>
        <w:t>נגד הנאשם הוגש כתב אישום מתוקן המייחס לו עבירה של חבלה חמורה בנסיבות מחמירות – עבירה לפי סעיף 333 בצירוף סעיף 335(א)(1) לחוק העונשין התשל"ז – 1977.</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2.</w:t>
      </w:r>
      <w:r>
        <w:rPr>
          <w:rFonts w:ascii="David" w:hAnsi="David"/>
          <w:rtl/>
        </w:rPr>
        <w:tab/>
        <w:t>על פי המתואר בכתב האישום המתוקן, ביום 08.04.22, בשעות הערב, החל מהשעה 18:30 שהה הנאשם יחד עם אחרים וביניהם המתלונן א.ז (להלן:</w:t>
      </w:r>
      <w:r>
        <w:rPr>
          <w:rFonts w:ascii="David" w:hAnsi="David" w:hint="cs"/>
          <w:rtl/>
        </w:rPr>
        <w:t xml:space="preserve"> </w:t>
      </w:r>
      <w:r>
        <w:rPr>
          <w:rFonts w:ascii="David" w:hAnsi="David"/>
          <w:b/>
          <w:bCs/>
          <w:rtl/>
        </w:rPr>
        <w:t>"המתלונן"</w:t>
      </w:r>
      <w:r>
        <w:rPr>
          <w:rFonts w:ascii="David" w:hAnsi="David"/>
          <w:rtl/>
        </w:rPr>
        <w:t>) בפארק בעיר אשקלון, ושתו משקאות אלכוהוליים.</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t xml:space="preserve">במהלך הערב, התפתח דין ודברים בין המתלונן לנאשם, שבמהלכו היכו אחד את השני באגרופים, עקב כך נפל הנאשם ארצה. המתלונן המשיך להכות את הנאשם בעודו על הרצפה, כתוצאה מכך, נגרם לנאשם חתך בשפה התחתונה.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t xml:space="preserve">אחד מהאחרים, הפריד בין השניים. הנאשם קם מהרצפה והשניים התרחקו אחד מהשני, אז הנאשם התקרב אל המתלונן כשהוא אוחז בסכין אשר מצא במקום ודקר באמצעותו את המתלונן בבטנו. בתגובה המתלונן צעק ומיד לאחר מכן הנאשם ברח מהמקום. </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t>המתלונן פונה בניידת מד"א שהגיעה למקום לבית חולים "ברזילאי" כשהוא סובל מפצע דקירה בבטן מתחת לטבור עם דימום פעיל, ושומן  מחוץ לבטן, הובהל לחדר ניתוח, במהלך הניתוח התגלתה כמות גדולה של דם וקרישי דם בבטן, בשל פגיעה בעורק, והתברר שיש פצע בדופן המעי ב- 2 צדדים. העורק המדמם נתפר ובוצע תיקון ראשוני של המעי. המתלונן אושפז בבית החולים ברזילאי ושוחרר ביום 12.04.22.</w:t>
      </w:r>
    </w:p>
    <w:p w:rsidR="00EE7869" w:rsidRDefault="00EE7869" w:rsidP="00EE7869">
      <w:pPr>
        <w:spacing w:line="360" w:lineRule="auto"/>
        <w:ind w:left="720" w:hanging="720"/>
        <w:jc w:val="both"/>
        <w:rPr>
          <w:rFonts w:ascii="David" w:hAnsi="David"/>
          <w:b/>
          <w:bCs/>
          <w:u w:val="single"/>
          <w:rtl/>
        </w:rPr>
      </w:pPr>
    </w:p>
    <w:p w:rsidR="00EE7869" w:rsidRDefault="00EE7869" w:rsidP="00EE7869">
      <w:pPr>
        <w:spacing w:line="360" w:lineRule="auto"/>
        <w:jc w:val="both"/>
        <w:rPr>
          <w:rFonts w:ascii="David" w:hAnsi="David"/>
          <w:rtl/>
        </w:rPr>
      </w:pPr>
      <w:r>
        <w:rPr>
          <w:rFonts w:ascii="David" w:hAnsi="David"/>
          <w:b/>
          <w:bCs/>
          <w:u w:val="single"/>
          <w:rtl/>
        </w:rPr>
        <w:t>המענה לכתב האישום המתוקן:</w:t>
      </w:r>
    </w:p>
    <w:p w:rsidR="00EE7869" w:rsidRDefault="00EE7869" w:rsidP="00EE7869">
      <w:pPr>
        <w:spacing w:line="360" w:lineRule="auto"/>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3.</w:t>
      </w:r>
      <w:r>
        <w:rPr>
          <w:rFonts w:ascii="David" w:hAnsi="David"/>
          <w:rtl/>
        </w:rPr>
        <w:tab/>
        <w:t>במענה לכתב האישום המתוקן, הודה הנאשם כי במהלך הערב המתואר בכתב האישום המתוקן התפתח דין ודברים בינו ובין המתלונן, אך הכחיש כי היכה את המתלונן. לטענתו, המתלונן תקף אותו במכות אגרופים לפנים, הפילו ארצה והמשיך להכות אותו ואף בעט בצלעותיו בעודו שוכב על הקרקע. כתוצאה מכך נגרמו לנאשם חבלות של ממש בדמות חבלת ראש, סימנים אדומים בפניו, המטומות מתחת לעיניו, סימני שפשוף על המצח וחתך בשפה התחתונה.</w:t>
      </w:r>
    </w:p>
    <w:p w:rsidR="00EE7869" w:rsidRDefault="00EE7869" w:rsidP="00EE7869">
      <w:pPr>
        <w:spacing w:line="360" w:lineRule="auto"/>
        <w:ind w:left="720" w:hanging="720"/>
        <w:jc w:val="both"/>
        <w:rPr>
          <w:rFonts w:ascii="David" w:hAnsi="David"/>
          <w:rtl/>
        </w:rPr>
      </w:pPr>
    </w:p>
    <w:p w:rsidR="00EE7869" w:rsidRDefault="00EE7869" w:rsidP="00EB369E">
      <w:pPr>
        <w:spacing w:line="360" w:lineRule="auto"/>
        <w:ind w:left="720" w:hanging="720"/>
        <w:jc w:val="both"/>
        <w:rPr>
          <w:rFonts w:ascii="David" w:hAnsi="David"/>
          <w:rtl/>
        </w:rPr>
      </w:pPr>
      <w:r>
        <w:rPr>
          <w:rFonts w:ascii="David" w:hAnsi="David"/>
          <w:rtl/>
        </w:rPr>
        <w:tab/>
        <w:t xml:space="preserve">כמו כן טען הנאשם כי מאחר והותקף בצורה קשה וברוטאלית על ידי המתלונן הוא סבל מכאבי ראש עזים ואינו זוכר במדויק את כל הפרטים של האירוע המפורט בסעיף 3 לכתב האישום, </w:t>
      </w:r>
      <w:r>
        <w:rPr>
          <w:rFonts w:ascii="David" w:hAnsi="David" w:hint="cs"/>
          <w:rtl/>
        </w:rPr>
        <w:t>א</w:t>
      </w:r>
      <w:r w:rsidR="00EB369E">
        <w:rPr>
          <w:rFonts w:ascii="David" w:hAnsi="David"/>
          <w:rtl/>
        </w:rPr>
        <w:t>ולם, מחומר הראיות עולה כי ה</w:t>
      </w:r>
      <w:r w:rsidR="00EB369E">
        <w:rPr>
          <w:rFonts w:ascii="David" w:hAnsi="David" w:hint="cs"/>
          <w:rtl/>
        </w:rPr>
        <w:t xml:space="preserve">וא </w:t>
      </w:r>
      <w:r>
        <w:rPr>
          <w:rFonts w:ascii="David" w:hAnsi="David"/>
          <w:rtl/>
        </w:rPr>
        <w:t xml:space="preserve">לא התקרב אל המתלונן אלא המתלונן התקרב </w:t>
      </w:r>
      <w:r w:rsidR="00EB369E">
        <w:rPr>
          <w:rFonts w:ascii="David" w:hAnsi="David" w:hint="cs"/>
          <w:rtl/>
        </w:rPr>
        <w:t>אליו</w:t>
      </w:r>
      <w:r>
        <w:rPr>
          <w:rFonts w:ascii="David" w:hAnsi="David"/>
          <w:rtl/>
        </w:rPr>
        <w:t xml:space="preserve">. לטענתו חש סכנה מוחשית לפגיעה בחייו ובגופו ובחירותו ובאותה נקודת זמן בעודו חבול ומדמם, מצא חפץ כלשהו על הרצפה, שלא ברור טיבו, ברזל, מקל, שיפוד או זכוכית, ותקף באמצעותו את המתלונן פעם אחת וזאת כדי להדוף אותו מעליו וברח מהמקום משום שחשש לחייו. הנאשם הוסיף כי פעל מתוך הגנה עצמית, ולחילופין מתוך הגנה עצמית מדומה.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jc w:val="both"/>
        <w:rPr>
          <w:rFonts w:ascii="David" w:hAnsi="David"/>
          <w:rtl/>
        </w:rPr>
      </w:pPr>
      <w:r>
        <w:rPr>
          <w:rFonts w:ascii="David" w:hAnsi="David"/>
          <w:rtl/>
        </w:rPr>
        <w:t xml:space="preserve">כמו כן טען הנאשם במסגרת המענה להגנה מן הצדק ולאכיפה בררנית. למרות שהמתלונן נחקר באזהרה בגין ביצוע עבירות של תגרה ותקיפה הגורמת חבלה של ממש ולמרות שהמתלונן הודה במיוחס לו וקיומן של ראיות אובייקטיביות נגדו, בחרה המאשימה שלא להגיש נגדו כתב אישום. </w:t>
      </w:r>
    </w:p>
    <w:p w:rsidR="00EE7869" w:rsidRDefault="00EE7869" w:rsidP="00EE7869">
      <w:pPr>
        <w:spacing w:line="360" w:lineRule="auto"/>
        <w:jc w:val="both"/>
        <w:rPr>
          <w:rFonts w:ascii="David" w:hAnsi="David"/>
          <w:rtl/>
        </w:rPr>
      </w:pPr>
    </w:p>
    <w:p w:rsidR="00500DDB" w:rsidRDefault="00500DDB" w:rsidP="00EE7869">
      <w:pPr>
        <w:spacing w:line="360" w:lineRule="auto"/>
        <w:jc w:val="both"/>
        <w:rPr>
          <w:rFonts w:ascii="David" w:hAnsi="David"/>
          <w:b/>
          <w:bCs/>
          <w:u w:val="single"/>
          <w:rtl/>
        </w:rPr>
      </w:pPr>
    </w:p>
    <w:p w:rsidR="00500DDB" w:rsidRDefault="00500DDB" w:rsidP="00EE7869">
      <w:pPr>
        <w:spacing w:line="360" w:lineRule="auto"/>
        <w:jc w:val="both"/>
        <w:rPr>
          <w:rFonts w:ascii="David" w:hAnsi="David"/>
          <w:b/>
          <w:bCs/>
          <w:u w:val="single"/>
          <w:rtl/>
        </w:rPr>
      </w:pPr>
    </w:p>
    <w:p w:rsidR="00EE7869" w:rsidRDefault="00EE7869" w:rsidP="00EE7869">
      <w:pPr>
        <w:spacing w:line="360" w:lineRule="auto"/>
        <w:jc w:val="both"/>
        <w:rPr>
          <w:rFonts w:ascii="David" w:hAnsi="David"/>
          <w:b/>
          <w:bCs/>
          <w:u w:val="single"/>
          <w:rtl/>
        </w:rPr>
      </w:pPr>
      <w:r>
        <w:rPr>
          <w:rFonts w:ascii="David" w:hAnsi="David"/>
          <w:b/>
          <w:bCs/>
          <w:u w:val="single"/>
          <w:rtl/>
        </w:rPr>
        <w:t>פרשת התביעה ופרשת ההגנה:</w:t>
      </w:r>
    </w:p>
    <w:p w:rsidR="00EE7869" w:rsidRPr="00500DDB" w:rsidRDefault="00EE7869" w:rsidP="00EE7869">
      <w:pPr>
        <w:spacing w:line="360" w:lineRule="auto"/>
        <w:jc w:val="both"/>
        <w:rPr>
          <w:rFonts w:ascii="David" w:hAnsi="David"/>
          <w:b/>
          <w:bCs/>
          <w:sz w:val="14"/>
          <w:szCs w:val="14"/>
          <w:u w:val="single"/>
          <w:rtl/>
        </w:rPr>
      </w:pPr>
    </w:p>
    <w:p w:rsidR="00EE7869" w:rsidRDefault="00EE7869" w:rsidP="00EE7869">
      <w:pPr>
        <w:spacing w:line="360" w:lineRule="auto"/>
        <w:jc w:val="both"/>
        <w:rPr>
          <w:rFonts w:ascii="David" w:hAnsi="David"/>
          <w:rtl/>
        </w:rPr>
      </w:pPr>
      <w:r>
        <w:rPr>
          <w:rFonts w:ascii="David" w:hAnsi="David"/>
          <w:rtl/>
        </w:rPr>
        <w:t>4.</w:t>
      </w:r>
      <w:r>
        <w:rPr>
          <w:rFonts w:ascii="David" w:hAnsi="David"/>
          <w:rtl/>
        </w:rPr>
        <w:tab/>
        <w:t>מטעם המאשימה העידו בבית המשפט:</w:t>
      </w:r>
    </w:p>
    <w:p w:rsidR="00EE7869" w:rsidRDefault="00EE7869" w:rsidP="00EE7869">
      <w:pPr>
        <w:spacing w:line="360" w:lineRule="auto"/>
        <w:jc w:val="both"/>
        <w:rPr>
          <w:rFonts w:ascii="David" w:hAnsi="David"/>
          <w:rtl/>
        </w:rPr>
      </w:pPr>
      <w:r>
        <w:rPr>
          <w:rFonts w:ascii="David" w:hAnsi="David"/>
          <w:rtl/>
        </w:rPr>
        <w:tab/>
      </w:r>
    </w:p>
    <w:p w:rsidR="00EE7869" w:rsidRDefault="00EE7869" w:rsidP="00EE7869">
      <w:pPr>
        <w:spacing w:line="360" w:lineRule="auto"/>
        <w:jc w:val="both"/>
        <w:rPr>
          <w:rFonts w:ascii="David" w:hAnsi="David"/>
          <w:rtl/>
        </w:rPr>
      </w:pPr>
      <w:r>
        <w:rPr>
          <w:rFonts w:ascii="David" w:hAnsi="David"/>
          <w:rtl/>
        </w:rPr>
        <w:tab/>
        <w:t>המתלונן, א.ז (במהלך שמיעת הראיות כונה גם סשה).</w:t>
      </w:r>
    </w:p>
    <w:p w:rsidR="00EE7869" w:rsidRDefault="00EE7869" w:rsidP="00EE7869">
      <w:pPr>
        <w:spacing w:line="360" w:lineRule="auto"/>
        <w:jc w:val="both"/>
        <w:rPr>
          <w:rFonts w:ascii="David" w:hAnsi="David"/>
          <w:rtl/>
        </w:rPr>
      </w:pPr>
      <w:r>
        <w:rPr>
          <w:rFonts w:ascii="David" w:hAnsi="David"/>
          <w:rtl/>
        </w:rPr>
        <w:tab/>
        <w:t>אשת המתלונן, אירנה.ז.</w:t>
      </w:r>
    </w:p>
    <w:p w:rsidR="00EE7869" w:rsidRDefault="00EE7869" w:rsidP="00EE7869">
      <w:pPr>
        <w:spacing w:line="360" w:lineRule="auto"/>
        <w:jc w:val="both"/>
        <w:rPr>
          <w:rFonts w:ascii="David" w:hAnsi="David"/>
          <w:rtl/>
        </w:rPr>
      </w:pPr>
      <w:r>
        <w:rPr>
          <w:rFonts w:ascii="David" w:hAnsi="David"/>
          <w:rtl/>
        </w:rPr>
        <w:tab/>
        <w:t>יבגני פיאנזין.</w:t>
      </w:r>
    </w:p>
    <w:p w:rsidR="00EE7869" w:rsidRDefault="00EE7869" w:rsidP="00EE7869">
      <w:pPr>
        <w:spacing w:line="360" w:lineRule="auto"/>
        <w:jc w:val="both"/>
        <w:rPr>
          <w:rFonts w:ascii="David" w:hAnsi="David"/>
          <w:rtl/>
        </w:rPr>
      </w:pPr>
      <w:r>
        <w:rPr>
          <w:rFonts w:ascii="David" w:hAnsi="David"/>
          <w:rtl/>
        </w:rPr>
        <w:tab/>
        <w:t>רומן שילסולמן.</w:t>
      </w:r>
    </w:p>
    <w:p w:rsidR="00EE7869" w:rsidRDefault="00EE7869" w:rsidP="00EE7869">
      <w:pPr>
        <w:spacing w:line="360" w:lineRule="auto"/>
        <w:jc w:val="both"/>
        <w:rPr>
          <w:rFonts w:ascii="David" w:hAnsi="David"/>
          <w:rtl/>
        </w:rPr>
      </w:pPr>
      <w:r>
        <w:rPr>
          <w:rFonts w:ascii="David" w:hAnsi="David"/>
          <w:rtl/>
        </w:rPr>
        <w:tab/>
        <w:t>אלכסנדרה שילסולמן.</w:t>
      </w:r>
    </w:p>
    <w:p w:rsidR="00EE7869" w:rsidRDefault="00EE7869" w:rsidP="00EE7869">
      <w:pPr>
        <w:spacing w:line="360" w:lineRule="auto"/>
        <w:jc w:val="both"/>
        <w:rPr>
          <w:rFonts w:ascii="David" w:hAnsi="David"/>
          <w:rtl/>
        </w:rPr>
      </w:pPr>
      <w:r>
        <w:rPr>
          <w:rFonts w:ascii="David" w:hAnsi="David"/>
          <w:rtl/>
        </w:rPr>
        <w:tab/>
        <w:t>גריגורי שבנצקו (במהלך שמיעת הראיות כונה גם גרישה).</w:t>
      </w:r>
    </w:p>
    <w:p w:rsidR="00EE7869" w:rsidRDefault="00EE7869" w:rsidP="00EE7869">
      <w:pPr>
        <w:spacing w:line="360" w:lineRule="auto"/>
        <w:jc w:val="both"/>
        <w:rPr>
          <w:rFonts w:ascii="David" w:hAnsi="David"/>
          <w:rtl/>
        </w:rPr>
      </w:pPr>
      <w:r>
        <w:rPr>
          <w:rFonts w:ascii="David" w:hAnsi="David"/>
          <w:rtl/>
        </w:rPr>
        <w:tab/>
        <w:t xml:space="preserve">רומן שמטקו. </w:t>
      </w:r>
    </w:p>
    <w:p w:rsidR="00EE7869" w:rsidRDefault="00EE7869" w:rsidP="00EE7869">
      <w:pPr>
        <w:spacing w:line="360" w:lineRule="auto"/>
        <w:jc w:val="both"/>
        <w:rPr>
          <w:rFonts w:ascii="David" w:hAnsi="David"/>
          <w:rtl/>
        </w:rPr>
      </w:pPr>
      <w:r>
        <w:rPr>
          <w:rFonts w:ascii="David" w:hAnsi="David"/>
        </w:rPr>
        <w:tab/>
      </w:r>
      <w:r>
        <w:rPr>
          <w:rFonts w:ascii="David" w:hAnsi="David"/>
          <w:rtl/>
        </w:rPr>
        <w:t>רס"מ אלכס שניטמן.</w:t>
      </w:r>
    </w:p>
    <w:p w:rsidR="00EE7869" w:rsidRDefault="00EE7869" w:rsidP="00EE7869">
      <w:pPr>
        <w:spacing w:line="360" w:lineRule="auto"/>
        <w:jc w:val="both"/>
        <w:rPr>
          <w:rFonts w:ascii="David" w:hAnsi="David"/>
          <w:rtl/>
        </w:rPr>
      </w:pPr>
      <w:r>
        <w:rPr>
          <w:rFonts w:ascii="David" w:hAnsi="David"/>
          <w:rtl/>
        </w:rPr>
        <w:tab/>
        <w:t xml:space="preserve">רס"מ מני חדד. </w:t>
      </w:r>
    </w:p>
    <w:p w:rsidR="00EE7869" w:rsidRDefault="00EE7869" w:rsidP="00EE7869">
      <w:pPr>
        <w:spacing w:line="360" w:lineRule="auto"/>
        <w:jc w:val="both"/>
        <w:rPr>
          <w:rFonts w:ascii="David" w:hAnsi="David"/>
          <w:rtl/>
        </w:rPr>
      </w:pPr>
      <w:r>
        <w:rPr>
          <w:rFonts w:ascii="David" w:hAnsi="David"/>
          <w:rtl/>
        </w:rPr>
        <w:tab/>
        <w:t xml:space="preserve">פקד איגור ליובשבקי. </w:t>
      </w:r>
    </w:p>
    <w:p w:rsidR="00EE7869" w:rsidRDefault="00EE7869" w:rsidP="00EE7869">
      <w:pPr>
        <w:spacing w:line="360" w:lineRule="auto"/>
        <w:jc w:val="both"/>
        <w:rPr>
          <w:rFonts w:ascii="David" w:hAnsi="David"/>
          <w:rtl/>
        </w:rPr>
      </w:pPr>
    </w:p>
    <w:p w:rsidR="00EE7869" w:rsidRDefault="00EE7869" w:rsidP="00EE7869">
      <w:pPr>
        <w:spacing w:line="360" w:lineRule="auto"/>
        <w:jc w:val="both"/>
        <w:rPr>
          <w:rFonts w:ascii="David" w:hAnsi="David"/>
          <w:rtl/>
        </w:rPr>
      </w:pPr>
      <w:r>
        <w:rPr>
          <w:rFonts w:ascii="David" w:hAnsi="David"/>
          <w:rtl/>
        </w:rPr>
        <w:t>5.</w:t>
      </w:r>
      <w:r>
        <w:rPr>
          <w:rFonts w:ascii="David" w:hAnsi="David"/>
          <w:rtl/>
        </w:rPr>
        <w:tab/>
        <w:t xml:space="preserve">כמו כן, ומטעם המאשימה התקבלו הראיות הבאות: </w:t>
      </w:r>
    </w:p>
    <w:p w:rsidR="00EE7869" w:rsidRPr="00500DDB" w:rsidRDefault="00EE7869" w:rsidP="00EE7869">
      <w:pPr>
        <w:spacing w:line="360" w:lineRule="auto"/>
        <w:jc w:val="both"/>
        <w:rPr>
          <w:rFonts w:ascii="David" w:hAnsi="David"/>
          <w:sz w:val="10"/>
          <w:szCs w:val="10"/>
          <w:rtl/>
        </w:rPr>
      </w:pPr>
    </w:p>
    <w:p w:rsidR="00EE7869" w:rsidRDefault="00EE7869" w:rsidP="00EE7869">
      <w:pPr>
        <w:spacing w:line="360" w:lineRule="auto"/>
        <w:jc w:val="both"/>
        <w:rPr>
          <w:rFonts w:ascii="David" w:hAnsi="David"/>
          <w:rtl/>
        </w:rPr>
      </w:pPr>
      <w:r>
        <w:rPr>
          <w:rFonts w:ascii="David" w:hAnsi="David"/>
          <w:rtl/>
        </w:rPr>
        <w:tab/>
        <w:t>ת/1 – תמונת בטנו של המתלונן בבית החולים ביום 11.04.22.</w:t>
      </w:r>
    </w:p>
    <w:p w:rsidR="00EE7869" w:rsidRDefault="00EE7869" w:rsidP="00EE7869">
      <w:pPr>
        <w:spacing w:line="360" w:lineRule="auto"/>
        <w:ind w:left="720"/>
        <w:jc w:val="both"/>
        <w:rPr>
          <w:rFonts w:ascii="David" w:hAnsi="David"/>
          <w:rtl/>
        </w:rPr>
      </w:pPr>
      <w:r>
        <w:rPr>
          <w:rFonts w:ascii="David" w:hAnsi="David"/>
          <w:rtl/>
        </w:rPr>
        <w:t xml:space="preserve">ת/2, ת/2א– שלוש תמונות חבלה של הנאשם, שצולמו על ידי החוקר מני חדד בתאריך  09.04.22. </w:t>
      </w:r>
    </w:p>
    <w:p w:rsidR="00EE7869" w:rsidRDefault="00EE7869" w:rsidP="00EE7869">
      <w:pPr>
        <w:spacing w:line="360" w:lineRule="auto"/>
        <w:jc w:val="both"/>
        <w:rPr>
          <w:rFonts w:ascii="David" w:hAnsi="David"/>
          <w:rtl/>
        </w:rPr>
      </w:pPr>
      <w:r>
        <w:rPr>
          <w:rFonts w:ascii="David" w:hAnsi="David"/>
          <w:rtl/>
        </w:rPr>
        <w:tab/>
        <w:t xml:space="preserve">ת/4 – חקירת הנאשם מיום 11.04.22. </w:t>
      </w:r>
    </w:p>
    <w:p w:rsidR="00EE7869" w:rsidRDefault="00EE7869" w:rsidP="00EE7869">
      <w:pPr>
        <w:spacing w:line="360" w:lineRule="auto"/>
        <w:jc w:val="both"/>
        <w:rPr>
          <w:rFonts w:ascii="David" w:hAnsi="David"/>
          <w:rtl/>
        </w:rPr>
      </w:pPr>
      <w:r>
        <w:rPr>
          <w:rFonts w:ascii="David" w:hAnsi="David"/>
          <w:rtl/>
        </w:rPr>
        <w:tab/>
        <w:t xml:space="preserve">ת/4א – דיסק חקירת הנאשם מיום 11.04.22. </w:t>
      </w:r>
    </w:p>
    <w:p w:rsidR="00EE7869" w:rsidRDefault="00EE7869" w:rsidP="00EE7869">
      <w:pPr>
        <w:spacing w:line="360" w:lineRule="auto"/>
        <w:jc w:val="both"/>
        <w:rPr>
          <w:rFonts w:ascii="David" w:hAnsi="David"/>
          <w:rtl/>
        </w:rPr>
      </w:pPr>
      <w:r>
        <w:rPr>
          <w:rFonts w:ascii="David" w:hAnsi="David"/>
          <w:rtl/>
        </w:rPr>
        <w:tab/>
        <w:t xml:space="preserve">ת/5 – מזכר של רס"ב אלכסנדר שניטמן מיום 11.04.22. </w:t>
      </w:r>
    </w:p>
    <w:p w:rsidR="00EE7869" w:rsidRDefault="00EE7869" w:rsidP="00EE7869">
      <w:pPr>
        <w:spacing w:line="360" w:lineRule="auto"/>
        <w:jc w:val="both"/>
        <w:rPr>
          <w:rFonts w:ascii="David" w:hAnsi="David"/>
          <w:rtl/>
        </w:rPr>
      </w:pPr>
      <w:r>
        <w:rPr>
          <w:rFonts w:ascii="David" w:hAnsi="David"/>
          <w:rtl/>
        </w:rPr>
        <w:tab/>
        <w:t>ת/6 – דו"ח פעולה שנערך על ידי רס"ל זיו ואנונו מיום 08.04.22.</w:t>
      </w:r>
    </w:p>
    <w:p w:rsidR="00EE7869" w:rsidRDefault="00EE7869" w:rsidP="00EE7869">
      <w:pPr>
        <w:spacing w:line="360" w:lineRule="auto"/>
        <w:jc w:val="both"/>
        <w:rPr>
          <w:rFonts w:ascii="David" w:hAnsi="David"/>
          <w:rtl/>
        </w:rPr>
      </w:pPr>
      <w:r>
        <w:rPr>
          <w:rFonts w:ascii="David" w:hAnsi="David"/>
          <w:rtl/>
        </w:rPr>
        <w:tab/>
        <w:t>ת/7 – דו"ח פעולה שנערך על ידי רס"מ ליאוניד בלנקי מיום 09.04.22.</w:t>
      </w:r>
    </w:p>
    <w:p w:rsidR="00EE7869" w:rsidRDefault="00EE7869" w:rsidP="00EE7869">
      <w:pPr>
        <w:spacing w:line="360" w:lineRule="auto"/>
        <w:jc w:val="both"/>
        <w:rPr>
          <w:rFonts w:ascii="David" w:hAnsi="David"/>
          <w:rtl/>
        </w:rPr>
      </w:pPr>
      <w:r>
        <w:rPr>
          <w:rFonts w:ascii="David" w:hAnsi="David"/>
          <w:rtl/>
        </w:rPr>
        <w:tab/>
        <w:t>ת/8 - דו"ח פעולה שנערך על ידי סייר איליה סיינקו מיום 08.04.22.</w:t>
      </w:r>
    </w:p>
    <w:p w:rsidR="00EE7869" w:rsidRDefault="00EE7869" w:rsidP="00EE7869">
      <w:pPr>
        <w:spacing w:line="360" w:lineRule="auto"/>
        <w:jc w:val="both"/>
        <w:rPr>
          <w:rFonts w:ascii="David" w:hAnsi="David"/>
          <w:rtl/>
        </w:rPr>
      </w:pPr>
      <w:r>
        <w:rPr>
          <w:rFonts w:ascii="David" w:hAnsi="David"/>
          <w:rtl/>
        </w:rPr>
        <w:tab/>
        <w:t xml:space="preserve">ת/8א – סרטון מצלמת גוף. </w:t>
      </w:r>
    </w:p>
    <w:p w:rsidR="00EE7869" w:rsidRDefault="00EE7869" w:rsidP="00EE7869">
      <w:pPr>
        <w:spacing w:line="360" w:lineRule="auto"/>
        <w:ind w:firstLine="720"/>
        <w:jc w:val="both"/>
        <w:rPr>
          <w:rFonts w:ascii="David" w:hAnsi="David"/>
          <w:rtl/>
        </w:rPr>
      </w:pPr>
      <w:r>
        <w:rPr>
          <w:rFonts w:ascii="David" w:hAnsi="David"/>
          <w:rtl/>
        </w:rPr>
        <w:t>ת/9 - דו"ח פעולה שנערך על ידי פקד איגור ליובשבקי מיום 09.04.22.</w:t>
      </w:r>
    </w:p>
    <w:p w:rsidR="00EE7869" w:rsidRDefault="00EE7869" w:rsidP="00EE7869">
      <w:pPr>
        <w:spacing w:line="360" w:lineRule="auto"/>
        <w:ind w:firstLine="720"/>
        <w:jc w:val="both"/>
        <w:rPr>
          <w:rFonts w:ascii="David" w:hAnsi="David"/>
          <w:rtl/>
        </w:rPr>
      </w:pPr>
      <w:r>
        <w:rPr>
          <w:rFonts w:ascii="David" w:hAnsi="David"/>
          <w:rtl/>
        </w:rPr>
        <w:t xml:space="preserve">ת/10 – מסמכים רפואיים של המתלונן. </w:t>
      </w:r>
    </w:p>
    <w:p w:rsidR="00EE7869" w:rsidRDefault="00EE7869" w:rsidP="00EE7869">
      <w:pPr>
        <w:spacing w:line="360" w:lineRule="auto"/>
        <w:ind w:firstLine="720"/>
        <w:jc w:val="both"/>
        <w:rPr>
          <w:rFonts w:ascii="David" w:hAnsi="David"/>
          <w:rtl/>
        </w:rPr>
      </w:pPr>
      <w:r>
        <w:rPr>
          <w:rFonts w:ascii="David" w:hAnsi="David"/>
          <w:rtl/>
        </w:rPr>
        <w:t>ת/11 – שרטוט הזירה.</w:t>
      </w:r>
    </w:p>
    <w:p w:rsidR="00EE7869" w:rsidRDefault="00EE7869" w:rsidP="00EE7869">
      <w:pPr>
        <w:spacing w:line="360" w:lineRule="auto"/>
        <w:ind w:firstLine="720"/>
        <w:jc w:val="both"/>
        <w:rPr>
          <w:rFonts w:ascii="David" w:hAnsi="David"/>
          <w:rtl/>
        </w:rPr>
      </w:pPr>
      <w:r>
        <w:rPr>
          <w:rFonts w:ascii="David" w:hAnsi="David"/>
          <w:rtl/>
        </w:rPr>
        <w:t xml:space="preserve">ת/12 – הודעה של יבגני פיאנזין מיום 08.04.22. </w:t>
      </w:r>
    </w:p>
    <w:p w:rsidR="00EE7869" w:rsidRDefault="00EE7869" w:rsidP="00EE7869">
      <w:pPr>
        <w:spacing w:line="360" w:lineRule="auto"/>
        <w:ind w:left="720"/>
        <w:jc w:val="both"/>
        <w:rPr>
          <w:rFonts w:ascii="David" w:hAnsi="David"/>
          <w:rtl/>
        </w:rPr>
      </w:pPr>
      <w:r>
        <w:rPr>
          <w:rFonts w:ascii="David" w:hAnsi="David"/>
          <w:rtl/>
        </w:rPr>
        <w:t xml:space="preserve">ת/13 -   ארבע תמונות: שתי תמונות נאשם בעת מעצרו, צילום מטלפון של אשת המתלונן </w:t>
      </w:r>
    </w:p>
    <w:p w:rsidR="00EE7869" w:rsidRDefault="00EE7869" w:rsidP="00EE7869">
      <w:pPr>
        <w:spacing w:line="360" w:lineRule="auto"/>
        <w:ind w:left="720" w:firstLine="720"/>
        <w:jc w:val="both"/>
        <w:rPr>
          <w:rFonts w:ascii="David" w:hAnsi="David"/>
          <w:rtl/>
        </w:rPr>
      </w:pPr>
      <w:r>
        <w:rPr>
          <w:rFonts w:ascii="David" w:hAnsi="David"/>
          <w:rtl/>
        </w:rPr>
        <w:t>ושני צילומים ממכשיר הטלפון של המתלונן.</w:t>
      </w:r>
    </w:p>
    <w:p w:rsidR="00EE7869" w:rsidRDefault="00EE7869" w:rsidP="00EE7869">
      <w:pPr>
        <w:spacing w:line="360" w:lineRule="auto"/>
        <w:ind w:left="720"/>
        <w:jc w:val="both"/>
        <w:rPr>
          <w:rFonts w:ascii="David" w:hAnsi="David"/>
          <w:rtl/>
        </w:rPr>
      </w:pPr>
      <w:r>
        <w:rPr>
          <w:rFonts w:ascii="David" w:hAnsi="David"/>
          <w:rtl/>
        </w:rPr>
        <w:t xml:space="preserve">ת/14 – הודעה באזהרה של הנאשם מיום 09.04.22. </w:t>
      </w:r>
    </w:p>
    <w:p w:rsidR="00EE7869" w:rsidRDefault="00EE7869" w:rsidP="00EE7869">
      <w:pPr>
        <w:spacing w:line="360" w:lineRule="auto"/>
        <w:ind w:left="720" w:hanging="720"/>
        <w:jc w:val="both"/>
        <w:rPr>
          <w:rFonts w:ascii="David" w:hAnsi="David"/>
          <w:rtl/>
        </w:rPr>
      </w:pPr>
      <w:r>
        <w:rPr>
          <w:rFonts w:ascii="David" w:hAnsi="David"/>
          <w:rtl/>
        </w:rPr>
        <w:t>6</w:t>
      </w:r>
      <w:r w:rsidR="008B4AFF">
        <w:rPr>
          <w:rFonts w:ascii="David" w:hAnsi="David"/>
          <w:rtl/>
        </w:rPr>
        <w:t>.</w:t>
      </w:r>
      <w:r w:rsidR="008B4AFF">
        <w:rPr>
          <w:rFonts w:ascii="David" w:hAnsi="David"/>
          <w:rtl/>
        </w:rPr>
        <w:tab/>
        <w:t>מטעם ההגנה, העיד הנאשם בלבד (</w:t>
      </w:r>
      <w:r>
        <w:rPr>
          <w:rFonts w:ascii="David" w:hAnsi="David"/>
          <w:rtl/>
        </w:rPr>
        <w:t>במהלך שמיעת הראיות כונה גם ג'ניה), והתקבלו הראיות:</w:t>
      </w:r>
    </w:p>
    <w:p w:rsidR="00EE7869" w:rsidRDefault="00EE7869" w:rsidP="00EE7869">
      <w:pPr>
        <w:spacing w:line="360" w:lineRule="auto"/>
        <w:jc w:val="both"/>
        <w:rPr>
          <w:rFonts w:ascii="David" w:hAnsi="David"/>
          <w:rtl/>
        </w:rPr>
      </w:pPr>
    </w:p>
    <w:p w:rsidR="00EE7869" w:rsidRDefault="00EE7869" w:rsidP="00EE7869">
      <w:pPr>
        <w:spacing w:line="360" w:lineRule="auto"/>
        <w:jc w:val="both"/>
        <w:rPr>
          <w:rFonts w:ascii="David" w:hAnsi="David"/>
          <w:rtl/>
        </w:rPr>
      </w:pPr>
      <w:r>
        <w:rPr>
          <w:rFonts w:ascii="David" w:hAnsi="David"/>
          <w:rtl/>
        </w:rPr>
        <w:tab/>
        <w:t>נ/1 – תמונת הזירה.</w:t>
      </w:r>
    </w:p>
    <w:p w:rsidR="00EE7869" w:rsidRDefault="00EE7869" w:rsidP="00EE7869">
      <w:pPr>
        <w:spacing w:line="360" w:lineRule="auto"/>
        <w:ind w:firstLine="720"/>
        <w:jc w:val="both"/>
        <w:rPr>
          <w:rFonts w:ascii="David" w:hAnsi="David"/>
          <w:rtl/>
        </w:rPr>
      </w:pPr>
      <w:r>
        <w:rPr>
          <w:rFonts w:ascii="David" w:hAnsi="David"/>
          <w:rtl/>
        </w:rPr>
        <w:t>נ/2  - תשע תמונות חבלה של הנאשם.</w:t>
      </w:r>
    </w:p>
    <w:p w:rsidR="00EE7869" w:rsidRDefault="00EE7869" w:rsidP="00EE7869">
      <w:pPr>
        <w:spacing w:line="360" w:lineRule="auto"/>
        <w:ind w:firstLine="720"/>
        <w:jc w:val="both"/>
        <w:rPr>
          <w:rFonts w:ascii="David" w:hAnsi="David"/>
          <w:rtl/>
        </w:rPr>
      </w:pPr>
      <w:r>
        <w:rPr>
          <w:rFonts w:ascii="David" w:hAnsi="David"/>
          <w:rtl/>
        </w:rPr>
        <w:t>נ/3 – תמונת שפתו של הנאשם.</w:t>
      </w:r>
    </w:p>
    <w:p w:rsidR="00EE7869" w:rsidRDefault="00EE7869" w:rsidP="00EE7869">
      <w:pPr>
        <w:spacing w:line="360" w:lineRule="auto"/>
        <w:jc w:val="both"/>
        <w:rPr>
          <w:rFonts w:ascii="David" w:hAnsi="David"/>
          <w:rtl/>
        </w:rPr>
      </w:pPr>
    </w:p>
    <w:p w:rsidR="00EE7869" w:rsidRDefault="00EE7869" w:rsidP="00EE7869">
      <w:pPr>
        <w:spacing w:line="360" w:lineRule="auto"/>
        <w:jc w:val="both"/>
        <w:rPr>
          <w:rFonts w:ascii="David" w:hAnsi="David"/>
          <w:rtl/>
        </w:rPr>
      </w:pPr>
      <w:r>
        <w:rPr>
          <w:rFonts w:ascii="David" w:hAnsi="David"/>
          <w:rtl/>
        </w:rPr>
        <w:t>7.</w:t>
      </w:r>
      <w:r>
        <w:rPr>
          <w:rFonts w:ascii="David" w:hAnsi="David"/>
          <w:rtl/>
        </w:rPr>
        <w:tab/>
        <w:t xml:space="preserve">סיכומיי המאשימה הוגשו ביום  16.08.23 וסיכומי ההגנה הוגשו ביום </w:t>
      </w:r>
      <w:r>
        <w:rPr>
          <w:rFonts w:ascii="David" w:hAnsi="David"/>
          <w:rtl/>
        </w:rPr>
        <w:softHyphen/>
      </w:r>
      <w:r>
        <w:rPr>
          <w:rFonts w:ascii="David" w:hAnsi="David"/>
          <w:rtl/>
        </w:rPr>
        <w:softHyphen/>
      </w:r>
      <w:r>
        <w:rPr>
          <w:rFonts w:ascii="David" w:hAnsi="David"/>
          <w:rtl/>
        </w:rPr>
        <w:softHyphen/>
      </w:r>
      <w:r>
        <w:rPr>
          <w:rFonts w:ascii="David" w:hAnsi="David"/>
          <w:rtl/>
        </w:rPr>
        <w:softHyphen/>
      </w:r>
      <w:r>
        <w:rPr>
          <w:rFonts w:ascii="David" w:hAnsi="David"/>
          <w:rtl/>
        </w:rPr>
        <w:softHyphen/>
        <w:t>10.09.23.</w:t>
      </w:r>
    </w:p>
    <w:p w:rsidR="00EE7869" w:rsidRDefault="00EE7869" w:rsidP="00EE7869">
      <w:pPr>
        <w:spacing w:line="360" w:lineRule="auto"/>
        <w:ind w:left="720"/>
        <w:jc w:val="both"/>
        <w:rPr>
          <w:rFonts w:ascii="David" w:hAnsi="David"/>
          <w:rtl/>
        </w:rPr>
      </w:pPr>
      <w:r>
        <w:rPr>
          <w:rFonts w:ascii="David" w:hAnsi="David"/>
          <w:rtl/>
        </w:rPr>
        <w:t>בשל מלחמת "חרבות הברזל" וההודעה בדבר החלת תקנות בתי המשפט ולשכות ההוצאה לפועל "סדרי דין במצב חירום מיוחד", התשנ"א – 1991 על בתי המשפט, ניתנת הכרעת הדין רק כעת.</w:t>
      </w:r>
    </w:p>
    <w:p w:rsidR="00EE7869" w:rsidRDefault="00EE7869" w:rsidP="00EE7869">
      <w:pPr>
        <w:spacing w:line="360" w:lineRule="auto"/>
        <w:jc w:val="both"/>
        <w:rPr>
          <w:rFonts w:ascii="David" w:hAnsi="David"/>
          <w:rtl/>
        </w:rPr>
      </w:pPr>
    </w:p>
    <w:p w:rsidR="00EE7869" w:rsidRDefault="00EE7869" w:rsidP="00EE7869">
      <w:pPr>
        <w:spacing w:line="360" w:lineRule="auto"/>
        <w:jc w:val="both"/>
        <w:rPr>
          <w:rFonts w:ascii="David" w:hAnsi="David"/>
          <w:b/>
          <w:bCs/>
          <w:u w:val="single"/>
          <w:rtl/>
        </w:rPr>
      </w:pPr>
      <w:r>
        <w:rPr>
          <w:rFonts w:ascii="David" w:hAnsi="David"/>
          <w:b/>
          <w:bCs/>
          <w:u w:val="single"/>
          <w:rtl/>
        </w:rPr>
        <w:t>דיון והכרעה:</w:t>
      </w:r>
    </w:p>
    <w:p w:rsidR="00EE7869" w:rsidRDefault="00EE7869" w:rsidP="00EE7869">
      <w:pPr>
        <w:spacing w:line="360" w:lineRule="auto"/>
        <w:jc w:val="both"/>
        <w:rPr>
          <w:rFonts w:ascii="David" w:hAnsi="David"/>
          <w:b/>
          <w:bCs/>
          <w:u w:val="single"/>
          <w:rtl/>
        </w:rPr>
      </w:pPr>
    </w:p>
    <w:p w:rsidR="00EE7869" w:rsidRDefault="00EE7869" w:rsidP="00EE7869">
      <w:pPr>
        <w:spacing w:line="360" w:lineRule="auto"/>
        <w:ind w:left="720" w:hanging="720"/>
        <w:jc w:val="both"/>
        <w:rPr>
          <w:rFonts w:ascii="David" w:hAnsi="David"/>
          <w:rtl/>
        </w:rPr>
      </w:pPr>
      <w:r>
        <w:rPr>
          <w:rFonts w:ascii="David" w:hAnsi="David"/>
          <w:rtl/>
        </w:rPr>
        <w:t>8.</w:t>
      </w:r>
      <w:r>
        <w:rPr>
          <w:rFonts w:ascii="David" w:hAnsi="David"/>
          <w:rtl/>
        </w:rPr>
        <w:tab/>
        <w:t>לאחר שראיות הצדדים הונחו בפני ולאחר שקראתי סיכומיהם, הגעתי למסקנה כי יש להרשיע הנאשם בעבירה שיוחסה לו בכתב האישום המתוקן, אם כי על בסיס עבודתי שונה במעט מזה שמצוין בכתב האישום.</w:t>
      </w:r>
    </w:p>
    <w:p w:rsidR="00EE7869" w:rsidRDefault="00EE7869" w:rsidP="00EE7869">
      <w:pPr>
        <w:spacing w:line="360" w:lineRule="auto"/>
        <w:jc w:val="both"/>
        <w:rPr>
          <w:rFonts w:ascii="David" w:hAnsi="David"/>
          <w:b/>
          <w:bCs/>
          <w:u w:val="single"/>
          <w:rtl/>
        </w:rPr>
      </w:pPr>
    </w:p>
    <w:p w:rsidR="00EE7869" w:rsidRDefault="00EE7869" w:rsidP="00EE7869">
      <w:pPr>
        <w:spacing w:line="360" w:lineRule="auto"/>
        <w:jc w:val="both"/>
        <w:rPr>
          <w:rFonts w:ascii="David" w:hAnsi="David"/>
          <w:b/>
          <w:bCs/>
          <w:rtl/>
        </w:rPr>
      </w:pPr>
      <w:r>
        <w:rPr>
          <w:rFonts w:ascii="David" w:hAnsi="David"/>
          <w:b/>
          <w:bCs/>
          <w:rtl/>
        </w:rPr>
        <w:t>הפן העובדתי: אופן התרחשות האירועים כפי שניתן ללמוד מהראיות.</w:t>
      </w:r>
    </w:p>
    <w:p w:rsidR="00EE7869" w:rsidRDefault="00EE7869" w:rsidP="00EE7869">
      <w:pPr>
        <w:spacing w:line="360" w:lineRule="auto"/>
        <w:jc w:val="both"/>
        <w:rPr>
          <w:rFonts w:ascii="David" w:hAnsi="David"/>
          <w:b/>
          <w:bCs/>
          <w:u w:val="single"/>
          <w:rtl/>
        </w:rPr>
      </w:pPr>
    </w:p>
    <w:p w:rsidR="00EE7869" w:rsidRDefault="00EE7869" w:rsidP="00EE7869">
      <w:pPr>
        <w:spacing w:line="360" w:lineRule="auto"/>
        <w:jc w:val="both"/>
        <w:rPr>
          <w:rFonts w:ascii="David" w:hAnsi="David"/>
          <w:rtl/>
        </w:rPr>
      </w:pPr>
      <w:r>
        <w:rPr>
          <w:rFonts w:ascii="David" w:hAnsi="David"/>
          <w:rtl/>
        </w:rPr>
        <w:t>9.</w:t>
      </w:r>
      <w:r>
        <w:rPr>
          <w:rFonts w:ascii="David" w:hAnsi="David"/>
          <w:rtl/>
        </w:rPr>
        <w:tab/>
        <w:t>לגרסת המתלונן וכפי שהעיד בביהמ"ש, האירוע התרחש כמפורט להלן:</w:t>
      </w:r>
    </w:p>
    <w:p w:rsidR="00EE7869" w:rsidRDefault="00EE7869" w:rsidP="00EE7869">
      <w:pPr>
        <w:spacing w:line="360" w:lineRule="auto"/>
        <w:ind w:firstLine="720"/>
        <w:jc w:val="both"/>
        <w:rPr>
          <w:rFonts w:ascii="David" w:hAnsi="David"/>
          <w:rtl/>
        </w:rPr>
      </w:pPr>
    </w:p>
    <w:p w:rsidR="00EE7869" w:rsidRDefault="00EE7869" w:rsidP="00EE7869">
      <w:pPr>
        <w:spacing w:line="360" w:lineRule="auto"/>
        <w:ind w:left="720"/>
        <w:jc w:val="both"/>
        <w:rPr>
          <w:rFonts w:ascii="David" w:hAnsi="David"/>
          <w:rtl/>
        </w:rPr>
      </w:pPr>
      <w:r>
        <w:rPr>
          <w:rFonts w:ascii="David" w:hAnsi="David"/>
          <w:b/>
          <w:bCs/>
          <w:rtl/>
        </w:rPr>
        <w:t>"... התחיל ויכוח והוא אמר לי בוא לפה אני אזיין אותך. וקמתי התחלתי ללכת אליו הוא דחף אותי בשתי ידיים וניסה לתת לי אגרוף, הזזתי את הראש אחורה והתחלתי לתת לו אגרופים בחזרה. זהו. הוא התיישב ככה ופה זה הסתיים. אני הלכתי חזרה לכיסא שלי לדבר עם אשתי... ואז חוזרים החבר'ה... גרישה ראה את הפנים הוא ראה דם מפה בשפה... בפנים של יבגני של הנאשם. הוא התחיל לצעוק עלי מה זה, ומה קרה פה?... ואני מדבר איתו בארבע עיניים ככה עומד מולו מסביר לו הוא מקשיב לי ופתאום אני מרגיש מגע בבטן אני מוריד את הראש רואה סכין נשלפת מהבטן שלי ואני רואה דם מהבטן. אני מבין שזה יבגני, הוא פשוט הוציא את הסכין הסתובב והתחיל ללכת זורק ככה את הסכין וממשיך ללכת..."</w:t>
      </w:r>
      <w:r>
        <w:rPr>
          <w:rFonts w:ascii="David" w:hAnsi="David"/>
          <w:rtl/>
        </w:rPr>
        <w:t xml:space="preserve"> (עמ' 26 ש' 28-32 ועמ' 27 ש' 7-16).</w:t>
      </w:r>
    </w:p>
    <w:p w:rsidR="00EE7869" w:rsidRDefault="00EE7869" w:rsidP="00EE7869">
      <w:pPr>
        <w:spacing w:line="360" w:lineRule="auto"/>
        <w:ind w:left="720"/>
        <w:jc w:val="both"/>
        <w:rPr>
          <w:rFonts w:ascii="David" w:hAnsi="David"/>
          <w:rtl/>
        </w:rPr>
      </w:pPr>
    </w:p>
    <w:p w:rsidR="00500DDB" w:rsidRDefault="00500DDB" w:rsidP="008B4AFF">
      <w:pPr>
        <w:spacing w:line="360" w:lineRule="auto"/>
        <w:ind w:left="720"/>
        <w:jc w:val="both"/>
        <w:rPr>
          <w:rFonts w:ascii="David" w:hAnsi="David"/>
          <w:rtl/>
        </w:rPr>
      </w:pPr>
    </w:p>
    <w:p w:rsidR="00500DDB" w:rsidRDefault="00500DDB" w:rsidP="008B4AFF">
      <w:pPr>
        <w:spacing w:line="360" w:lineRule="auto"/>
        <w:ind w:left="720"/>
        <w:jc w:val="both"/>
        <w:rPr>
          <w:rFonts w:ascii="David" w:hAnsi="David"/>
          <w:rtl/>
        </w:rPr>
      </w:pPr>
    </w:p>
    <w:p w:rsidR="00EE7869" w:rsidRDefault="008B4AFF" w:rsidP="008B4AFF">
      <w:pPr>
        <w:spacing w:line="360" w:lineRule="auto"/>
        <w:ind w:left="720"/>
        <w:jc w:val="both"/>
        <w:rPr>
          <w:rFonts w:ascii="David" w:hAnsi="David"/>
          <w:rtl/>
        </w:rPr>
      </w:pPr>
      <w:r>
        <w:rPr>
          <w:rFonts w:ascii="David" w:hAnsi="David" w:hint="cs"/>
          <w:rtl/>
        </w:rPr>
        <w:t>מנגד</w:t>
      </w:r>
      <w:r w:rsidR="00EE7869">
        <w:rPr>
          <w:rFonts w:ascii="David" w:hAnsi="David"/>
          <w:rtl/>
        </w:rPr>
        <w:t xml:space="preserve">, לגרסת הנאשם וכפי שהעיד עליה בביהמ"ש, האירוע התרחש כמפורט להלן: </w:t>
      </w:r>
    </w:p>
    <w:p w:rsidR="00EE7869" w:rsidRDefault="00EE7869" w:rsidP="00EE7869">
      <w:pPr>
        <w:spacing w:line="360" w:lineRule="auto"/>
        <w:ind w:left="720"/>
        <w:jc w:val="both"/>
        <w:rPr>
          <w:rFonts w:ascii="David" w:hAnsi="David"/>
          <w:rtl/>
        </w:rPr>
      </w:pPr>
    </w:p>
    <w:p w:rsidR="00EE7869" w:rsidRDefault="00EE7869" w:rsidP="00EE7869">
      <w:pPr>
        <w:spacing w:line="360" w:lineRule="auto"/>
        <w:ind w:left="720"/>
        <w:jc w:val="both"/>
        <w:rPr>
          <w:rFonts w:ascii="David" w:hAnsi="David"/>
          <w:b/>
          <w:bCs/>
          <w:rtl/>
        </w:rPr>
      </w:pPr>
      <w:r>
        <w:rPr>
          <w:rFonts w:ascii="David" w:hAnsi="David"/>
          <w:b/>
          <w:bCs/>
          <w:rtl/>
        </w:rPr>
        <w:t xml:space="preserve">"כשהוא קם ועקף את השולחן, הוא ניסה לתקוף אותי פעם אחת והתחמקתי, בפעם השנייה התחמקתי ובפעם השלישית הוא פגע לי בפנים" </w:t>
      </w:r>
      <w:r>
        <w:rPr>
          <w:rFonts w:ascii="David" w:hAnsi="David"/>
          <w:rtl/>
        </w:rPr>
        <w:t>(עמוד 327 לפרוטוקול ש' 13-14)</w:t>
      </w:r>
      <w:r>
        <w:rPr>
          <w:rFonts w:ascii="David" w:hAnsi="David"/>
          <w:b/>
          <w:bCs/>
          <w:rtl/>
        </w:rPr>
        <w:t>;</w:t>
      </w:r>
      <w:r>
        <w:rPr>
          <w:rFonts w:ascii="David" w:hAnsi="David"/>
          <w:rtl/>
        </w:rPr>
        <w:t xml:space="preserve"> </w:t>
      </w:r>
      <w:r>
        <w:rPr>
          <w:rFonts w:ascii="David" w:hAnsi="David"/>
          <w:b/>
          <w:bCs/>
          <w:rtl/>
        </w:rPr>
        <w:t xml:space="preserve">"הוא ישב או על הברכיים או באופן מלא, והתחיל לתת לי מכות בפנים... הוא התיישב עלי מלמעלה, והוא התחיל להרביץ... אני שכבתי ואז הוא הרביץ לי, אני ניסיתי לדחוף אותו, ואני זוכר את זה במעורפל. דחפתי אותו וברחתי" </w:t>
      </w:r>
      <w:r>
        <w:rPr>
          <w:rFonts w:ascii="David" w:hAnsi="David"/>
          <w:rtl/>
        </w:rPr>
        <w:t xml:space="preserve">(עמוד 330 ש' 14-26); </w:t>
      </w:r>
      <w:r>
        <w:rPr>
          <w:rFonts w:ascii="David" w:hAnsi="David"/>
          <w:b/>
          <w:bCs/>
          <w:rtl/>
        </w:rPr>
        <w:t xml:space="preserve">"יכול להיות שברגע שאני דחפתי אותו, יכול להיות שהרמתי משהו מהאדמה ואז, זה יכול להיות שיפוד, זה יכול להיות מקל ויכול להיות מזלג" </w:t>
      </w:r>
      <w:r>
        <w:rPr>
          <w:rFonts w:ascii="David" w:hAnsi="David"/>
          <w:rtl/>
        </w:rPr>
        <w:t xml:space="preserve">(עמוד 342 ש' 27-29); </w:t>
      </w:r>
      <w:r>
        <w:rPr>
          <w:rFonts w:ascii="David" w:hAnsi="David"/>
          <w:b/>
          <w:bCs/>
          <w:rtl/>
        </w:rPr>
        <w:t xml:space="preserve">"בעדות אמרו לי שאני תקפתי את הבן אדם הזה, ואני חשבתי שאני רק דחפתי אותו, ולא תקפתי. רק בעדות התגלה לי שנתתי מכה לבן אדם הזה" </w:t>
      </w:r>
      <w:r>
        <w:rPr>
          <w:rFonts w:ascii="David" w:hAnsi="David"/>
          <w:rtl/>
        </w:rPr>
        <w:t>(עמוד 317 ש' 11-12)</w:t>
      </w:r>
      <w:r>
        <w:rPr>
          <w:rFonts w:ascii="David" w:hAnsi="David"/>
          <w:b/>
          <w:bCs/>
          <w:rtl/>
        </w:rPr>
        <w:t>.</w:t>
      </w:r>
    </w:p>
    <w:p w:rsidR="00EE7869" w:rsidRDefault="00EE7869" w:rsidP="00EE7869">
      <w:pPr>
        <w:spacing w:line="360" w:lineRule="auto"/>
        <w:ind w:left="720"/>
        <w:jc w:val="both"/>
        <w:rPr>
          <w:rFonts w:ascii="David" w:hAnsi="David"/>
          <w:b/>
          <w:bCs/>
          <w:rtl/>
        </w:rPr>
      </w:pPr>
    </w:p>
    <w:p w:rsidR="00EE7869" w:rsidRDefault="00EE7869" w:rsidP="00EE7869">
      <w:pPr>
        <w:spacing w:line="360" w:lineRule="auto"/>
        <w:ind w:left="720" w:hanging="720"/>
        <w:jc w:val="both"/>
        <w:rPr>
          <w:rFonts w:ascii="David" w:hAnsi="David"/>
          <w:rtl/>
        </w:rPr>
      </w:pPr>
      <w:r>
        <w:rPr>
          <w:rFonts w:ascii="David" w:hAnsi="David"/>
          <w:rtl/>
        </w:rPr>
        <w:t>10.</w:t>
      </w:r>
      <w:r>
        <w:rPr>
          <w:rFonts w:ascii="David" w:hAnsi="David"/>
          <w:rtl/>
        </w:rPr>
        <w:tab/>
        <w:t>אין מחלוקת עובדתית בין הצדדים, כמתואר בסעיף 1 לעובדות כתב האישום המתוקן, כי עובר לאירוע, שהה הנאשם יחד עם אחרים וביניהם המתלונן בפארק בעיר אשקלון ושתו משקאות אלכוהוליים.</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David" w:hAnsi="David"/>
          <w:rtl/>
        </w:rPr>
        <w:tab/>
      </w:r>
      <w:r>
        <w:rPr>
          <w:rFonts w:ascii="David" w:hAnsi="David"/>
          <w:b/>
          <w:bCs/>
          <w:rtl/>
        </w:rPr>
        <w:t>ר' לעניין זה:</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t>עדות המתלונן בעמ' 25 שורות 19-24 ובעמ' 26 ש' 4-6.</w:t>
      </w:r>
    </w:p>
    <w:p w:rsidR="00EE7869" w:rsidRDefault="00EE7869" w:rsidP="00EE7869">
      <w:pPr>
        <w:spacing w:line="360" w:lineRule="auto"/>
        <w:ind w:left="720" w:hanging="720"/>
        <w:jc w:val="both"/>
        <w:rPr>
          <w:rFonts w:ascii="David" w:hAnsi="David"/>
          <w:rtl/>
        </w:rPr>
      </w:pPr>
      <w:r>
        <w:rPr>
          <w:rFonts w:ascii="David" w:hAnsi="David"/>
          <w:rtl/>
        </w:rPr>
        <w:tab/>
        <w:t>עדותה של הגב' אירינה ז. בעמ' 86 ש' 12-15.</w:t>
      </w:r>
    </w:p>
    <w:p w:rsidR="00EE7869" w:rsidRDefault="00EE7869" w:rsidP="00EE7869">
      <w:pPr>
        <w:spacing w:line="360" w:lineRule="auto"/>
        <w:ind w:left="720" w:hanging="720"/>
        <w:jc w:val="both"/>
        <w:rPr>
          <w:rFonts w:ascii="David" w:hAnsi="David"/>
          <w:rtl/>
        </w:rPr>
      </w:pPr>
      <w:r>
        <w:rPr>
          <w:rFonts w:ascii="David" w:hAnsi="David"/>
          <w:rtl/>
        </w:rPr>
        <w:tab/>
        <w:t>עדותו של מר רומן שמטקו בעמ' 199 ש' 1-13.</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EE7869" w:rsidP="00EE7869">
      <w:pPr>
        <w:spacing w:line="360" w:lineRule="auto"/>
        <w:ind w:left="720" w:hanging="720"/>
        <w:jc w:val="both"/>
        <w:rPr>
          <w:rFonts w:ascii="David" w:hAnsi="David"/>
          <w:rtl/>
        </w:rPr>
      </w:pPr>
      <w:r>
        <w:rPr>
          <w:rFonts w:ascii="David" w:hAnsi="David"/>
          <w:rtl/>
        </w:rPr>
        <w:t>11.</w:t>
      </w:r>
      <w:r>
        <w:rPr>
          <w:rFonts w:ascii="David" w:hAnsi="David"/>
          <w:rtl/>
        </w:rPr>
        <w:tab/>
        <w:t xml:space="preserve">כמו כן, וכמתואר בסעיף 2 רישא לעובדות כתב האישום המתוקן, אין למעשה מחלוקת עובדתית כי בין המתלונן לבין הנאשם התפתח ויכוח מילולי.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b/>
          <w:bCs/>
          <w:rtl/>
        </w:rPr>
        <w:tab/>
        <w:t>ר' לעניין זה:</w:t>
      </w:r>
    </w:p>
    <w:p w:rsidR="00EE7869" w:rsidRDefault="00EE7869" w:rsidP="00EE7869">
      <w:pPr>
        <w:spacing w:line="360" w:lineRule="auto"/>
        <w:ind w:left="720" w:hanging="720"/>
        <w:jc w:val="both"/>
        <w:rPr>
          <w:rFonts w:ascii="David" w:hAnsi="David"/>
          <w:rtl/>
        </w:rPr>
      </w:pPr>
      <w:r>
        <w:rPr>
          <w:rFonts w:ascii="David" w:hAnsi="David"/>
          <w:rtl/>
        </w:rPr>
        <w:tab/>
        <w:t>המענה של הנאשם לכתב האישום בעמ' 11 ש' 16.</w:t>
      </w:r>
      <w:r>
        <w:rPr>
          <w:rFonts w:ascii="David" w:hAnsi="David"/>
          <w:rtl/>
        </w:rPr>
        <w:tab/>
      </w:r>
      <w:r>
        <w:rPr>
          <w:rFonts w:ascii="David" w:hAnsi="David"/>
          <w:rtl/>
        </w:rPr>
        <w:tab/>
      </w:r>
    </w:p>
    <w:p w:rsidR="00EE7869" w:rsidRDefault="00EE7869" w:rsidP="00EE7869">
      <w:pPr>
        <w:spacing w:line="360" w:lineRule="auto"/>
        <w:ind w:left="720" w:hanging="720"/>
        <w:jc w:val="both"/>
        <w:rPr>
          <w:rFonts w:ascii="David" w:hAnsi="David"/>
          <w:rtl/>
        </w:rPr>
      </w:pPr>
      <w:r>
        <w:rPr>
          <w:rFonts w:ascii="David" w:hAnsi="David"/>
          <w:rtl/>
        </w:rPr>
        <w:tab/>
        <w:t xml:space="preserve">עדותו של העד מר יבגני פיאנזין בעמ' 119 שורה 21. </w:t>
      </w:r>
    </w:p>
    <w:p w:rsidR="00500DDB" w:rsidRDefault="00EE7869" w:rsidP="00EE7869">
      <w:pPr>
        <w:spacing w:line="360" w:lineRule="auto"/>
        <w:ind w:left="720" w:hanging="720"/>
        <w:jc w:val="both"/>
        <w:rPr>
          <w:rFonts w:ascii="David" w:hAnsi="David"/>
          <w:rtl/>
        </w:rPr>
      </w:pPr>
      <w:r>
        <w:rPr>
          <w:rFonts w:ascii="David" w:hAnsi="David"/>
          <w:rtl/>
        </w:rPr>
        <w:tab/>
      </w:r>
    </w:p>
    <w:p w:rsidR="00500DDB" w:rsidRDefault="00500DDB" w:rsidP="00EE7869">
      <w:pPr>
        <w:spacing w:line="360" w:lineRule="auto"/>
        <w:ind w:left="720" w:hanging="720"/>
        <w:jc w:val="both"/>
        <w:rPr>
          <w:rFonts w:ascii="David" w:hAnsi="David"/>
          <w:rtl/>
        </w:rPr>
      </w:pPr>
    </w:p>
    <w:p w:rsidR="00500DDB" w:rsidRDefault="00500DDB" w:rsidP="00EE7869">
      <w:pPr>
        <w:spacing w:line="360" w:lineRule="auto"/>
        <w:ind w:left="720" w:hanging="720"/>
        <w:jc w:val="both"/>
        <w:rPr>
          <w:rFonts w:ascii="David" w:hAnsi="David"/>
          <w:rtl/>
        </w:rPr>
      </w:pPr>
    </w:p>
    <w:p w:rsidR="00500DDB" w:rsidRDefault="00500DDB"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EE7869" w:rsidP="00EE7869">
      <w:pPr>
        <w:spacing w:line="360" w:lineRule="auto"/>
        <w:ind w:left="720" w:hanging="720"/>
        <w:jc w:val="both"/>
        <w:rPr>
          <w:rFonts w:ascii="David" w:hAnsi="David"/>
          <w:rtl/>
        </w:rPr>
      </w:pPr>
      <w:r>
        <w:rPr>
          <w:rFonts w:ascii="David" w:hAnsi="David"/>
          <w:rtl/>
        </w:rPr>
        <w:t>12.</w:t>
      </w:r>
      <w:r>
        <w:rPr>
          <w:rFonts w:ascii="David" w:hAnsi="David"/>
          <w:rtl/>
        </w:rPr>
        <w:tab/>
        <w:t>עובדה נוספת שאינה שנויה במחלוקת, כמתואר בסעיף 2 לעובדות כתב האישום המתוקן, נוגעת לכך שבשל הוויכוח כמפורט לעיל, המתלונן היכה באגרופים את הנאשם, המשיך להכותו בעודו על הרצפה, וכתוצאה מכך נגרם לנאשם חתך בשפה התחתונה.</w:t>
      </w:r>
    </w:p>
    <w:p w:rsidR="00EE7869" w:rsidRDefault="00EE7869" w:rsidP="00EE7869">
      <w:pPr>
        <w:spacing w:line="360" w:lineRule="auto"/>
        <w:ind w:left="720" w:hanging="720"/>
        <w:jc w:val="both"/>
        <w:rPr>
          <w:rFonts w:ascii="David" w:hAnsi="David"/>
          <w:rtl/>
        </w:rPr>
      </w:pPr>
      <w:r>
        <w:rPr>
          <w:rFonts w:ascii="David" w:hAnsi="David"/>
          <w:rtl/>
        </w:rPr>
        <w:tab/>
        <w:t xml:space="preserve">בנקודה זו, מקובלת עלי טענת ההגנה כי מחומר הראיות עולה כי מלבד אגרופיו, המתלונן  בעט בנאשם פעם אחת כשהוא על הרצפה, וכי נגרם לנאשם, מלבד החתך בשפה, גם המטומות בפנים. </w:t>
      </w:r>
    </w:p>
    <w:p w:rsidR="00EE7869" w:rsidRDefault="00EE7869" w:rsidP="00EE7869">
      <w:pPr>
        <w:spacing w:line="360" w:lineRule="auto"/>
        <w:ind w:left="720" w:hanging="720"/>
        <w:jc w:val="both"/>
        <w:rPr>
          <w:rFonts w:ascii="David" w:hAnsi="David"/>
          <w:sz w:val="14"/>
          <w:szCs w:val="14"/>
          <w:rtl/>
        </w:rPr>
      </w:pPr>
      <w:r>
        <w:rPr>
          <w:rFonts w:ascii="David" w:hAnsi="David"/>
          <w:rtl/>
        </w:rPr>
        <w:tab/>
      </w:r>
    </w:p>
    <w:p w:rsidR="00EE7869" w:rsidRDefault="00EE7869" w:rsidP="00EE7869">
      <w:pPr>
        <w:spacing w:line="360" w:lineRule="auto"/>
        <w:ind w:left="720" w:hanging="720"/>
        <w:jc w:val="both"/>
        <w:rPr>
          <w:rFonts w:ascii="David" w:hAnsi="David"/>
          <w:b/>
          <w:bCs/>
          <w:rtl/>
        </w:rPr>
      </w:pPr>
      <w:r>
        <w:rPr>
          <w:rFonts w:ascii="David" w:hAnsi="David"/>
          <w:rtl/>
        </w:rPr>
        <w:tab/>
      </w:r>
      <w:r>
        <w:rPr>
          <w:rFonts w:ascii="David" w:hAnsi="David"/>
          <w:b/>
          <w:bCs/>
          <w:rtl/>
        </w:rPr>
        <w:t xml:space="preserve">ר' לעניין זה: </w:t>
      </w:r>
    </w:p>
    <w:p w:rsidR="00EE7869" w:rsidRDefault="00EE7869" w:rsidP="00EE7869">
      <w:pPr>
        <w:spacing w:line="360" w:lineRule="auto"/>
        <w:ind w:left="720" w:hanging="720"/>
        <w:jc w:val="both"/>
        <w:rPr>
          <w:rFonts w:ascii="David" w:hAnsi="David"/>
          <w:rtl/>
        </w:rPr>
      </w:pPr>
      <w:r>
        <w:rPr>
          <w:rFonts w:ascii="David" w:hAnsi="David"/>
          <w:rtl/>
        </w:rPr>
        <w:tab/>
        <w:t>עדות המתלונן בעמ' 53 ש' 14-15.</w:t>
      </w:r>
    </w:p>
    <w:p w:rsidR="00EE7869" w:rsidRDefault="00EE7869" w:rsidP="00EE7869">
      <w:pPr>
        <w:spacing w:line="360" w:lineRule="auto"/>
        <w:ind w:left="720" w:hanging="720"/>
        <w:jc w:val="both"/>
        <w:rPr>
          <w:rFonts w:ascii="David" w:hAnsi="David"/>
          <w:rtl/>
        </w:rPr>
      </w:pPr>
      <w:r>
        <w:rPr>
          <w:rFonts w:ascii="David" w:hAnsi="David"/>
          <w:rtl/>
        </w:rPr>
        <w:tab/>
        <w:t>עדותו של מר יבגני פיאנזין בעמ' 137 ש' 12.</w:t>
      </w:r>
    </w:p>
    <w:p w:rsidR="00EE7869" w:rsidRDefault="00EE7869" w:rsidP="00EE7869">
      <w:pPr>
        <w:spacing w:line="360" w:lineRule="auto"/>
        <w:ind w:left="720" w:hanging="720"/>
        <w:jc w:val="both"/>
        <w:rPr>
          <w:rFonts w:ascii="David" w:hAnsi="David"/>
          <w:rtl/>
        </w:rPr>
      </w:pPr>
      <w:r>
        <w:rPr>
          <w:rFonts w:ascii="David" w:hAnsi="David"/>
          <w:rtl/>
        </w:rPr>
        <w:tab/>
        <w:t xml:space="preserve">עדותו של מר רומן שילסולמן בעמ' 157 ש' 23-25. </w:t>
      </w:r>
    </w:p>
    <w:p w:rsidR="00EE7869" w:rsidRDefault="00EE7869" w:rsidP="00EE7869">
      <w:pPr>
        <w:spacing w:line="360" w:lineRule="auto"/>
        <w:ind w:left="720" w:hanging="720"/>
        <w:jc w:val="both"/>
        <w:rPr>
          <w:rFonts w:ascii="David" w:hAnsi="David"/>
          <w:rtl/>
        </w:rPr>
      </w:pPr>
      <w:r>
        <w:rPr>
          <w:rFonts w:ascii="David" w:hAnsi="David"/>
          <w:rtl/>
        </w:rPr>
        <w:tab/>
        <w:t xml:space="preserve">עדותה של גב' אלכסנדרה שילסולמן בעמ' 175 ש' 14-16. </w:t>
      </w:r>
    </w:p>
    <w:p w:rsidR="00EE7869" w:rsidRDefault="00EE7869" w:rsidP="00EE7869">
      <w:pPr>
        <w:spacing w:line="360" w:lineRule="auto"/>
        <w:ind w:left="720" w:hanging="720"/>
        <w:jc w:val="both"/>
        <w:rPr>
          <w:rFonts w:ascii="David" w:hAnsi="David"/>
          <w:rtl/>
        </w:rPr>
      </w:pPr>
      <w:r>
        <w:rPr>
          <w:rFonts w:ascii="David" w:hAnsi="David"/>
          <w:rtl/>
        </w:rPr>
        <w:tab/>
        <w:t xml:space="preserve">תמונות של הנאשם -ת/2. </w:t>
      </w:r>
    </w:p>
    <w:p w:rsidR="00EE7869" w:rsidRDefault="00EE7869" w:rsidP="00EE7869">
      <w:pPr>
        <w:spacing w:line="360" w:lineRule="auto"/>
        <w:ind w:left="720" w:hanging="720"/>
        <w:jc w:val="both"/>
        <w:rPr>
          <w:rFonts w:ascii="David" w:hAnsi="David"/>
          <w:rtl/>
        </w:rPr>
      </w:pPr>
    </w:p>
    <w:p w:rsidR="00EE7869" w:rsidRDefault="00EE7869" w:rsidP="00AC3351">
      <w:pPr>
        <w:spacing w:line="360" w:lineRule="auto"/>
        <w:ind w:left="720" w:hanging="720"/>
        <w:jc w:val="both"/>
        <w:rPr>
          <w:rFonts w:ascii="David" w:hAnsi="David"/>
          <w:rtl/>
        </w:rPr>
      </w:pPr>
      <w:r>
        <w:rPr>
          <w:rFonts w:ascii="David" w:hAnsi="David"/>
          <w:rtl/>
        </w:rPr>
        <w:tab/>
        <w:t>כמו כן  מקובלת עליי טענת ההגנה כמפורט בסעיף 3 לסיכומיה, כי אין בחומר הראיות כדי לבסס את הנטען בסעיף 2 לעובדות כתב האישום כי בשלב זה של הוויכוח המתלונן והנאשם "</w:t>
      </w:r>
      <w:r>
        <w:rPr>
          <w:rFonts w:ascii="David" w:hAnsi="David"/>
          <w:b/>
          <w:bCs/>
          <w:rtl/>
        </w:rPr>
        <w:t>היכו האחד את השני באגרופים"</w:t>
      </w:r>
      <w:r>
        <w:rPr>
          <w:rFonts w:ascii="David" w:hAnsi="David"/>
          <w:rtl/>
        </w:rPr>
        <w:t xml:space="preserve">, שכן לדברי המתלונן בשלב זה של האירוע הנאשם רק דחף אותו וניסה לתת לו אגרוף, ממנו הצליח להתחמק לאחר שהזיז את ראשו אחורה.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David" w:hAnsi="David"/>
          <w:rtl/>
        </w:rPr>
        <w:t>13.</w:t>
      </w:r>
      <w:r>
        <w:rPr>
          <w:rFonts w:ascii="David" w:hAnsi="David"/>
          <w:rtl/>
        </w:rPr>
        <w:tab/>
        <w:t xml:space="preserve">המחלוקת העובדתית בין המאשימה לבין ההגנה נסובה בעיקרה באשר להשתלשלות האירוע המתוארים בסעיף 3 לעובדות כתב האישום המתוקן לפיו: </w:t>
      </w:r>
    </w:p>
    <w:p w:rsidR="00EE7869" w:rsidRDefault="00EE7869" w:rsidP="00EE7869">
      <w:pPr>
        <w:spacing w:line="360" w:lineRule="auto"/>
        <w:ind w:left="720"/>
        <w:jc w:val="both"/>
        <w:rPr>
          <w:rFonts w:ascii="David" w:hAnsi="David"/>
          <w:b/>
          <w:bCs/>
          <w:rtl/>
        </w:rPr>
      </w:pPr>
    </w:p>
    <w:p w:rsidR="00EE7869" w:rsidRDefault="00EE7869" w:rsidP="00EE7869">
      <w:pPr>
        <w:spacing w:line="360" w:lineRule="auto"/>
        <w:ind w:left="720"/>
        <w:jc w:val="both"/>
        <w:rPr>
          <w:rFonts w:ascii="David" w:hAnsi="David"/>
          <w:rtl/>
        </w:rPr>
      </w:pPr>
      <w:r>
        <w:rPr>
          <w:rFonts w:ascii="David" w:hAnsi="David"/>
          <w:b/>
          <w:bCs/>
          <w:rtl/>
        </w:rPr>
        <w:t>"אחד מהאחרים, הפריד בין השניים. הנאשם קם מהרצפה והשניים התרחקו אחד מהשני, אז הנאשם התקרב אל המתלונן כשהוא אוחז בסכין אשר מצא במקום ודקר באמצעותו את המתלונן בבטנו. בתגובה המתלונן צעק ומיד לאחר מכן הנאשם ברח מהמקום"</w:t>
      </w:r>
      <w:r>
        <w:rPr>
          <w:rFonts w:ascii="David" w:hAnsi="David"/>
          <w:rtl/>
        </w:rPr>
        <w:t>.</w:t>
      </w:r>
    </w:p>
    <w:p w:rsidR="00EE7869" w:rsidRDefault="00EE7869" w:rsidP="00EE7869">
      <w:pPr>
        <w:spacing w:line="360" w:lineRule="auto"/>
        <w:jc w:val="both"/>
        <w:rPr>
          <w:rFonts w:ascii="David" w:hAnsi="David"/>
          <w:b/>
          <w:bCs/>
          <w:rtl/>
        </w:rPr>
      </w:pPr>
    </w:p>
    <w:p w:rsidR="00EE7869" w:rsidRDefault="00EE7869" w:rsidP="00EE7869">
      <w:pPr>
        <w:spacing w:line="360" w:lineRule="auto"/>
        <w:ind w:left="720" w:hanging="720"/>
        <w:jc w:val="both"/>
        <w:rPr>
          <w:rFonts w:ascii="David" w:hAnsi="David"/>
          <w:rtl/>
        </w:rPr>
      </w:pPr>
      <w:r>
        <w:rPr>
          <w:rFonts w:ascii="David" w:hAnsi="David"/>
          <w:rtl/>
        </w:rPr>
        <w:tab/>
        <w:t xml:space="preserve">לשיטת המאשימה האירוע </w:t>
      </w:r>
      <w:r w:rsidR="00AF0047">
        <w:rPr>
          <w:rFonts w:ascii="David" w:hAnsi="David"/>
          <w:rtl/>
        </w:rPr>
        <w:t>המתואר בכתב האישום וכפי שהדבר ע</w:t>
      </w:r>
      <w:r>
        <w:rPr>
          <w:rFonts w:ascii="David" w:hAnsi="David"/>
          <w:rtl/>
        </w:rPr>
        <w:t>לה מהראיות שהוצגו, היה מורכב משני שלבים שביניהם הפסקה קצרה (סעיף 58 לסיכומי המאשימה), בעוד שלשיטת ההגנה עסקינן באירוע אחד (סעיף 20 לסיכומי ההגנה).</w:t>
      </w:r>
    </w:p>
    <w:p w:rsidR="00EE7869" w:rsidRDefault="00EE7869" w:rsidP="00EE7869">
      <w:pPr>
        <w:spacing w:line="360" w:lineRule="auto"/>
        <w:ind w:left="720" w:hanging="720"/>
        <w:jc w:val="both"/>
        <w:rPr>
          <w:rFonts w:ascii="David" w:hAnsi="David"/>
          <w:rtl/>
        </w:rPr>
      </w:pPr>
    </w:p>
    <w:p w:rsidR="00500DDB" w:rsidRDefault="00500DDB" w:rsidP="00EE7869">
      <w:pPr>
        <w:spacing w:line="360" w:lineRule="auto"/>
        <w:ind w:left="720" w:hanging="720"/>
        <w:jc w:val="both"/>
        <w:rPr>
          <w:rFonts w:ascii="David" w:hAnsi="David"/>
          <w:rtl/>
        </w:rPr>
      </w:pPr>
    </w:p>
    <w:p w:rsidR="00500DDB" w:rsidRDefault="00500DDB" w:rsidP="00EE7869">
      <w:pPr>
        <w:spacing w:line="360" w:lineRule="auto"/>
        <w:ind w:left="720" w:hanging="720"/>
        <w:jc w:val="both"/>
        <w:rPr>
          <w:rFonts w:ascii="David" w:hAnsi="David"/>
          <w:rtl/>
        </w:rPr>
      </w:pPr>
    </w:p>
    <w:p w:rsidR="00500DDB" w:rsidRDefault="00500DDB" w:rsidP="00EE7869">
      <w:pPr>
        <w:spacing w:line="360" w:lineRule="auto"/>
        <w:ind w:left="720" w:hanging="720"/>
        <w:jc w:val="both"/>
        <w:rPr>
          <w:rFonts w:ascii="David" w:hAnsi="David"/>
          <w:rtl/>
        </w:rPr>
      </w:pPr>
    </w:p>
    <w:p w:rsidR="00500DDB" w:rsidRDefault="00500DDB" w:rsidP="00EE7869">
      <w:pPr>
        <w:spacing w:line="360" w:lineRule="auto"/>
        <w:ind w:left="720" w:hanging="720"/>
        <w:jc w:val="both"/>
        <w:rPr>
          <w:rFonts w:ascii="David" w:hAnsi="David"/>
          <w:rtl/>
        </w:rPr>
      </w:pPr>
    </w:p>
    <w:p w:rsidR="00EE7869" w:rsidRDefault="00EE7869" w:rsidP="00AC3351">
      <w:pPr>
        <w:spacing w:line="360" w:lineRule="auto"/>
        <w:ind w:left="720" w:hanging="720"/>
        <w:jc w:val="both"/>
        <w:rPr>
          <w:rFonts w:ascii="David" w:hAnsi="David"/>
          <w:rtl/>
        </w:rPr>
      </w:pPr>
      <w:r>
        <w:rPr>
          <w:rFonts w:ascii="David" w:hAnsi="David"/>
          <w:rtl/>
        </w:rPr>
        <w:t>14.</w:t>
      </w:r>
      <w:r>
        <w:rPr>
          <w:rFonts w:ascii="David" w:hAnsi="David"/>
          <w:rtl/>
        </w:rPr>
        <w:tab/>
        <w:t>לאחר שקראתי סיכומי באי כוח הצדדים, שמעתי את העדים ועיינתי בראיות, מצאתי כי  אומנם  האירוע לא התחלק לשני שלבים כטענת המאשימה, אך מהעדויות עולה כי עסקינן באירוע מתגלגל, אשר בניגוד לגרסת ההגנה כלל שני מקטעים של אלימות פיזית – מקטע ראשון שבמהלכו המתלונן הכה את</w:t>
      </w:r>
      <w:r w:rsidR="00AC3351">
        <w:rPr>
          <w:rFonts w:ascii="David" w:hAnsi="David"/>
          <w:rtl/>
        </w:rPr>
        <w:t xml:space="preserve"> הנאשם (</w:t>
      </w:r>
      <w:r>
        <w:rPr>
          <w:rFonts w:ascii="David" w:hAnsi="David"/>
          <w:rtl/>
        </w:rPr>
        <w:t xml:space="preserve">להלן: </w:t>
      </w:r>
      <w:r>
        <w:rPr>
          <w:rFonts w:ascii="David" w:hAnsi="David"/>
          <w:b/>
          <w:bCs/>
          <w:rtl/>
        </w:rPr>
        <w:t>"מקטע ראשון"</w:t>
      </w:r>
      <w:r>
        <w:rPr>
          <w:rFonts w:ascii="David" w:hAnsi="David"/>
          <w:rtl/>
        </w:rPr>
        <w:t xml:space="preserve">) ומקטע שני שבמהלכו הנאשם דקר את המתלונן (להלן: </w:t>
      </w:r>
      <w:r>
        <w:rPr>
          <w:rFonts w:ascii="David" w:hAnsi="David"/>
          <w:b/>
          <w:bCs/>
          <w:rtl/>
        </w:rPr>
        <w:t>"מקטע שני"</w:t>
      </w:r>
      <w:r>
        <w:rPr>
          <w:rFonts w:ascii="David" w:hAnsi="David"/>
          <w:rtl/>
        </w:rPr>
        <w:t>). המקטע הראשון הסתיים לאחר  ש"</w:t>
      </w:r>
      <w:r>
        <w:rPr>
          <w:rFonts w:ascii="David" w:hAnsi="David"/>
          <w:b/>
          <w:bCs/>
          <w:rtl/>
        </w:rPr>
        <w:t>אחד מהאחרים</w:t>
      </w:r>
      <w:r>
        <w:rPr>
          <w:rFonts w:ascii="David" w:hAnsi="David"/>
          <w:rtl/>
        </w:rPr>
        <w:t>" - רומן שמטקו, הפריד בין השניים.</w:t>
      </w:r>
    </w:p>
    <w:p w:rsidR="00EE7869" w:rsidRDefault="00EE7869" w:rsidP="00EE7869">
      <w:pPr>
        <w:spacing w:line="360" w:lineRule="auto"/>
        <w:ind w:left="720" w:hanging="720"/>
        <w:jc w:val="both"/>
        <w:rPr>
          <w:rFonts w:ascii="David" w:hAnsi="David"/>
          <w:rtl/>
        </w:rPr>
      </w:pPr>
    </w:p>
    <w:p w:rsidR="00EE7869" w:rsidRDefault="00EE7869" w:rsidP="00AC3351">
      <w:pPr>
        <w:spacing w:line="360" w:lineRule="auto"/>
        <w:ind w:left="720" w:hanging="720"/>
        <w:jc w:val="both"/>
        <w:rPr>
          <w:rFonts w:ascii="David" w:hAnsi="David"/>
          <w:rtl/>
        </w:rPr>
      </w:pPr>
      <w:r>
        <w:rPr>
          <w:rFonts w:ascii="David" w:hAnsi="David"/>
          <w:rtl/>
        </w:rPr>
        <w:tab/>
        <w:t xml:space="preserve">חומר הראיות מוכיח מעל לכל ספק סביר, בניגוד לגרסת הנאשם וכפי שיפורט להלן, כי בין שני המקטעים לעיל חלפו </w:t>
      </w:r>
      <w:r>
        <w:rPr>
          <w:rFonts w:ascii="David" w:hAnsi="David"/>
          <w:b/>
          <w:bCs/>
          <w:u w:val="single"/>
          <w:rtl/>
        </w:rPr>
        <w:t>לכל הפחות</w:t>
      </w:r>
      <w:r>
        <w:rPr>
          <w:rFonts w:ascii="David" w:hAnsi="David"/>
          <w:u w:val="single"/>
          <w:rtl/>
        </w:rPr>
        <w:t xml:space="preserve"> </w:t>
      </w:r>
      <w:r>
        <w:rPr>
          <w:rFonts w:ascii="David" w:hAnsi="David"/>
          <w:rtl/>
        </w:rPr>
        <w:t>מספר שניות (להלן: "</w:t>
      </w:r>
      <w:r>
        <w:rPr>
          <w:rFonts w:ascii="David" w:hAnsi="David"/>
          <w:b/>
          <w:bCs/>
          <w:rtl/>
        </w:rPr>
        <w:t>הזמן שבין המקטעים</w:t>
      </w:r>
      <w:r w:rsidR="00AC3351">
        <w:rPr>
          <w:rFonts w:ascii="David" w:hAnsi="David"/>
          <w:rtl/>
        </w:rPr>
        <w:t>")</w:t>
      </w:r>
      <w:r>
        <w:rPr>
          <w:rFonts w:ascii="David" w:hAnsi="David"/>
          <w:rtl/>
        </w:rPr>
        <w:t xml:space="preserve">, במהלכן המתלונן עזב את הנאשם, התרחק ממנו וחזר אל מקום מושבו בשולחן, או אז הנאשם התרומם מהקרקע, נעמד על רגליו ופנה אל המתלונן. בתגובה המתלונן חזר אל הנאשם, או אז הנאשם דקר אותו בסכין שמצא במקום. </w:t>
      </w:r>
    </w:p>
    <w:p w:rsidR="00EE7869" w:rsidRDefault="00EE7869" w:rsidP="00EE7869">
      <w:pPr>
        <w:spacing w:line="360" w:lineRule="auto"/>
        <w:ind w:left="720" w:hanging="720"/>
        <w:jc w:val="both"/>
        <w:rPr>
          <w:rFonts w:ascii="David" w:hAnsi="David"/>
          <w:rtl/>
        </w:rPr>
      </w:pPr>
      <w:r>
        <w:rPr>
          <w:rFonts w:ascii="David" w:hAnsi="David"/>
          <w:rtl/>
        </w:rPr>
        <w:tab/>
        <w:t xml:space="preserve">גרסת הנאשם לפיה הדקירה נעשתה תוך שהמתלונן מכה אותו בעודו על הקרקע ותוך כדי הדיפת המתלונן, אינה מתיישבת עם יתר הראיות והעדויות שבתיק ולא זכתה לאמון ביהמ"ש. </w:t>
      </w:r>
    </w:p>
    <w:p w:rsidR="00EE7869" w:rsidRDefault="00EE7869" w:rsidP="00EE7869">
      <w:pPr>
        <w:spacing w:line="360" w:lineRule="auto"/>
        <w:ind w:left="720" w:hanging="720"/>
        <w:jc w:val="both"/>
        <w:rPr>
          <w:rFonts w:ascii="David" w:hAnsi="David"/>
          <w:b/>
          <w:bCs/>
          <w:rtl/>
        </w:rPr>
      </w:pPr>
    </w:p>
    <w:p w:rsidR="00EE7869" w:rsidRDefault="00EE7869" w:rsidP="00EE7869">
      <w:pPr>
        <w:spacing w:line="360" w:lineRule="auto"/>
        <w:ind w:left="1440" w:hanging="720"/>
        <w:jc w:val="both"/>
        <w:rPr>
          <w:rFonts w:ascii="David" w:hAnsi="David"/>
          <w:rtl/>
        </w:rPr>
      </w:pPr>
      <w:r>
        <w:rPr>
          <w:rFonts w:ascii="David" w:hAnsi="David"/>
          <w:rtl/>
        </w:rPr>
        <w:t>א.</w:t>
      </w:r>
      <w:r>
        <w:rPr>
          <w:rFonts w:ascii="David" w:hAnsi="David"/>
          <w:rtl/>
        </w:rPr>
        <w:tab/>
        <w:t xml:space="preserve">העד יבגני פיאנזין העיד כי ישב בפארק עם חבריו רומן ואלכסנדרה שילסולמן, בשולחן לידו ישבו קבוצת אנשים שאינו מכיר וכי לא היתה לו היכרות מוקדמת עם הנאשם והמתלונן. </w:t>
      </w:r>
    </w:p>
    <w:p w:rsidR="00EE7869" w:rsidRDefault="00EE7869" w:rsidP="00AC3351">
      <w:pPr>
        <w:spacing w:line="360" w:lineRule="auto"/>
        <w:ind w:left="1440"/>
        <w:jc w:val="both"/>
        <w:rPr>
          <w:rFonts w:ascii="David" w:hAnsi="David"/>
          <w:rtl/>
        </w:rPr>
      </w:pPr>
      <w:r>
        <w:rPr>
          <w:rFonts w:ascii="David" w:hAnsi="David"/>
          <w:rtl/>
        </w:rPr>
        <w:t>מר פיאנזין סיפר בין היתר, כי לאחר שאדם שלישי  הפריד בין השניים, הנאשם קם, פנה למתלונן במילים</w:t>
      </w:r>
      <w:r>
        <w:rPr>
          <w:rFonts w:ascii="David" w:hAnsi="David"/>
          <w:b/>
          <w:bCs/>
          <w:rtl/>
        </w:rPr>
        <w:t xml:space="preserve"> "לא טובים"</w:t>
      </w:r>
      <w:r>
        <w:rPr>
          <w:rFonts w:ascii="David" w:hAnsi="David"/>
          <w:rtl/>
        </w:rPr>
        <w:t>. בשלב זה המתלונן חזר לכיוונו של הנאשם, ואז שמע כי המתלונן אומר</w:t>
      </w:r>
      <w:r w:rsidR="00AC3351">
        <w:rPr>
          <w:rFonts w:ascii="David" w:hAnsi="David" w:hint="cs"/>
          <w:rtl/>
        </w:rPr>
        <w:t xml:space="preserve"> </w:t>
      </w:r>
      <w:r>
        <w:rPr>
          <w:rFonts w:ascii="David" w:hAnsi="David"/>
          <w:rtl/>
        </w:rPr>
        <w:t>"</w:t>
      </w:r>
      <w:r>
        <w:rPr>
          <w:rFonts w:ascii="David" w:hAnsi="David"/>
          <w:b/>
          <w:bCs/>
          <w:rtl/>
        </w:rPr>
        <w:t>הוא נתן לי מכה עם סכין</w:t>
      </w:r>
      <w:r w:rsidR="00AC3351">
        <w:rPr>
          <w:rFonts w:ascii="David" w:hAnsi="David" w:hint="cs"/>
          <w:rtl/>
        </w:rPr>
        <w:t>". (</w:t>
      </w:r>
      <w:r>
        <w:rPr>
          <w:rFonts w:ascii="David" w:hAnsi="David"/>
          <w:rtl/>
        </w:rPr>
        <w:t>עמ' 122-123).</w:t>
      </w:r>
      <w:r>
        <w:rPr>
          <w:rFonts w:ascii="David" w:hAnsi="David"/>
          <w:rtl/>
        </w:rPr>
        <w:br/>
      </w:r>
    </w:p>
    <w:p w:rsidR="00EE7869" w:rsidRDefault="00EE7869" w:rsidP="00114C70">
      <w:pPr>
        <w:spacing w:line="360" w:lineRule="auto"/>
        <w:ind w:left="1440"/>
        <w:jc w:val="both"/>
        <w:rPr>
          <w:rFonts w:ascii="David" w:hAnsi="David"/>
          <w:rtl/>
        </w:rPr>
      </w:pPr>
      <w:r>
        <w:rPr>
          <w:rFonts w:ascii="David" w:hAnsi="David"/>
          <w:rtl/>
        </w:rPr>
        <w:t>לשאלת ביהמ"ש השיב העד כי חלפו "</w:t>
      </w:r>
      <w:r>
        <w:rPr>
          <w:rFonts w:ascii="David" w:hAnsi="David"/>
          <w:b/>
          <w:bCs/>
          <w:rtl/>
        </w:rPr>
        <w:t>אולי 5 דקות"</w:t>
      </w:r>
      <w:r>
        <w:rPr>
          <w:rFonts w:ascii="David" w:hAnsi="David"/>
          <w:rtl/>
        </w:rPr>
        <w:t xml:space="preserve"> מהשלב שבו המתלונן הכה את הנאשם לבין הרגע שהמתלונן אמר כי נדקר , וכי בפרק זמן זה המתלונן חזר לשולחן ולא היה צמוד לנאשם ( עמ' </w:t>
      </w:r>
      <w:r w:rsidR="00114C70">
        <w:rPr>
          <w:rFonts w:ascii="David" w:hAnsi="David"/>
          <w:rtl/>
        </w:rPr>
        <w:t xml:space="preserve"> 126 ש' 30-31 ועמ' 142 ש' 9-11)</w:t>
      </w:r>
      <w:r>
        <w:rPr>
          <w:rFonts w:ascii="David" w:hAnsi="David"/>
          <w:rtl/>
        </w:rPr>
        <w:t xml:space="preserve">. בחקירתו הנגדית חזר העד על דבריו כי בין שני המקטעים חלפו </w:t>
      </w:r>
      <w:r>
        <w:rPr>
          <w:rFonts w:ascii="David" w:hAnsi="David"/>
          <w:b/>
          <w:bCs/>
          <w:rtl/>
        </w:rPr>
        <w:t>"4 דקות-5 דקות"</w:t>
      </w:r>
      <w:r>
        <w:rPr>
          <w:rFonts w:ascii="David" w:hAnsi="David"/>
          <w:rtl/>
        </w:rPr>
        <w:t xml:space="preserve"> (עמ' 142 שורה 29).</w:t>
      </w:r>
    </w:p>
    <w:p w:rsidR="00EE7869" w:rsidRDefault="00EE7869" w:rsidP="00EE7869">
      <w:pPr>
        <w:spacing w:line="360" w:lineRule="auto"/>
        <w:ind w:left="720" w:hanging="720"/>
        <w:jc w:val="both"/>
        <w:rPr>
          <w:rFonts w:ascii="David" w:hAnsi="David"/>
          <w:rtl/>
        </w:rPr>
      </w:pPr>
    </w:p>
    <w:p w:rsidR="00EE7869" w:rsidRDefault="00EE7869" w:rsidP="00AC3351">
      <w:pPr>
        <w:spacing w:line="360" w:lineRule="auto"/>
        <w:ind w:left="1440" w:hanging="720"/>
        <w:jc w:val="both"/>
        <w:rPr>
          <w:rFonts w:ascii="David" w:hAnsi="David"/>
          <w:b/>
          <w:bCs/>
          <w:rtl/>
        </w:rPr>
      </w:pPr>
      <w:r>
        <w:rPr>
          <w:rFonts w:ascii="David" w:hAnsi="David"/>
          <w:rtl/>
        </w:rPr>
        <w:t>ב.</w:t>
      </w:r>
      <w:r>
        <w:rPr>
          <w:rFonts w:ascii="David" w:hAnsi="David"/>
          <w:rtl/>
        </w:rPr>
        <w:tab/>
        <w:t>מר רומן שילסולמן העיד כי בסיום המקטע הראשון ובטרם הדקירה, המתלונן עזב את הנאשם  "</w:t>
      </w:r>
      <w:r>
        <w:rPr>
          <w:rFonts w:ascii="David" w:hAnsi="David"/>
          <w:b/>
          <w:bCs/>
          <w:rtl/>
        </w:rPr>
        <w:t>..</w:t>
      </w:r>
      <w:r w:rsidR="00AC3351">
        <w:rPr>
          <w:rFonts w:ascii="David" w:hAnsi="David" w:hint="cs"/>
          <w:b/>
          <w:bCs/>
          <w:rtl/>
        </w:rPr>
        <w:t xml:space="preserve"> </w:t>
      </w:r>
      <w:r>
        <w:rPr>
          <w:rFonts w:ascii="David" w:hAnsi="David"/>
          <w:b/>
          <w:bCs/>
          <w:rtl/>
        </w:rPr>
        <w:t>הוא עוזב אותו ..</w:t>
      </w:r>
      <w:r w:rsidR="00AC3351">
        <w:rPr>
          <w:rFonts w:ascii="David" w:hAnsi="David" w:hint="cs"/>
          <w:b/>
          <w:bCs/>
          <w:rtl/>
        </w:rPr>
        <w:t>.</w:t>
      </w:r>
      <w:r>
        <w:rPr>
          <w:rFonts w:ascii="David" w:hAnsi="David"/>
          <w:b/>
          <w:bCs/>
          <w:rtl/>
        </w:rPr>
        <w:t>"</w:t>
      </w:r>
      <w:r w:rsidR="00AC3351">
        <w:rPr>
          <w:rFonts w:ascii="David" w:hAnsi="David"/>
          <w:rtl/>
        </w:rPr>
        <w:t xml:space="preserve"> (</w:t>
      </w:r>
      <w:r>
        <w:rPr>
          <w:rFonts w:ascii="David" w:hAnsi="David"/>
          <w:rtl/>
        </w:rPr>
        <w:t xml:space="preserve">עמ' 157 שורה 28), וכי בין שני המקטעים חלפו </w:t>
      </w:r>
      <w:r>
        <w:rPr>
          <w:rFonts w:ascii="David" w:hAnsi="David"/>
          <w:b/>
          <w:bCs/>
          <w:rtl/>
        </w:rPr>
        <w:t>"אולי זה 5 שניות</w:t>
      </w:r>
      <w:r w:rsidR="00AC3351">
        <w:rPr>
          <w:rFonts w:ascii="David" w:hAnsi="David"/>
          <w:b/>
          <w:bCs/>
          <w:rtl/>
        </w:rPr>
        <w:t>, אני לא יודע</w:t>
      </w:r>
      <w:r>
        <w:rPr>
          <w:rFonts w:ascii="David" w:hAnsi="David"/>
          <w:b/>
          <w:bCs/>
          <w:rtl/>
        </w:rPr>
        <w:t xml:space="preserve">" </w:t>
      </w:r>
      <w:r w:rsidR="00AC3351">
        <w:rPr>
          <w:rFonts w:ascii="David" w:hAnsi="David"/>
          <w:rtl/>
        </w:rPr>
        <w:t>(</w:t>
      </w:r>
      <w:r>
        <w:rPr>
          <w:rFonts w:ascii="David" w:hAnsi="David"/>
          <w:rtl/>
        </w:rPr>
        <w:t>עמ' 167 שורה 31)</w:t>
      </w:r>
      <w:r>
        <w:rPr>
          <w:rFonts w:ascii="David" w:hAnsi="David"/>
          <w:b/>
          <w:bCs/>
          <w:rtl/>
        </w:rPr>
        <w:t>.</w:t>
      </w:r>
    </w:p>
    <w:p w:rsidR="00EE7869" w:rsidRDefault="00EE7869" w:rsidP="00EE7869">
      <w:pPr>
        <w:spacing w:line="360" w:lineRule="auto"/>
        <w:ind w:left="720" w:hanging="720"/>
        <w:jc w:val="both"/>
        <w:rPr>
          <w:rFonts w:ascii="David" w:hAnsi="David"/>
          <w:b/>
          <w:bCs/>
          <w:rtl/>
        </w:rPr>
      </w:pPr>
    </w:p>
    <w:p w:rsidR="00EE7869" w:rsidRDefault="00AC3351" w:rsidP="00AC3351">
      <w:pPr>
        <w:spacing w:line="360" w:lineRule="auto"/>
        <w:ind w:left="1440" w:hanging="720"/>
        <w:jc w:val="both"/>
        <w:rPr>
          <w:rFonts w:ascii="David" w:hAnsi="David"/>
          <w:rtl/>
        </w:rPr>
      </w:pPr>
      <w:r>
        <w:rPr>
          <w:rFonts w:ascii="David" w:hAnsi="David"/>
          <w:rtl/>
        </w:rPr>
        <w:t>ג.</w:t>
      </w:r>
      <w:r>
        <w:rPr>
          <w:rFonts w:ascii="David" w:hAnsi="David"/>
          <w:rtl/>
        </w:rPr>
        <w:tab/>
        <w:t>גב' אלכסנדרה שילסולמן</w:t>
      </w:r>
      <w:r w:rsidR="00EE7869">
        <w:rPr>
          <w:rFonts w:ascii="David" w:hAnsi="David"/>
          <w:rtl/>
        </w:rPr>
        <w:t xml:space="preserve">, שגם לה לא היתה היכרות מוקדמת עם הנאשם והמתלונן,   העידה כי לאחר שהמתלונן הפסיק להכות את הנאשם </w:t>
      </w:r>
      <w:r>
        <w:rPr>
          <w:rFonts w:ascii="David" w:hAnsi="David"/>
          <w:b/>
          <w:bCs/>
          <w:rtl/>
        </w:rPr>
        <w:t>"</w:t>
      </w:r>
      <w:r w:rsidR="00EE7869">
        <w:rPr>
          <w:rFonts w:ascii="David" w:hAnsi="David"/>
          <w:b/>
          <w:bCs/>
          <w:rtl/>
        </w:rPr>
        <w:t>...</w:t>
      </w:r>
      <w:r>
        <w:rPr>
          <w:rFonts w:ascii="David" w:hAnsi="David" w:hint="cs"/>
          <w:b/>
          <w:bCs/>
          <w:rtl/>
        </w:rPr>
        <w:t xml:space="preserve"> </w:t>
      </w:r>
      <w:r w:rsidR="00EE7869">
        <w:rPr>
          <w:rFonts w:ascii="David" w:hAnsi="David"/>
          <w:b/>
          <w:bCs/>
          <w:rtl/>
        </w:rPr>
        <w:t>אלכס התחיל לזוז לכיוון השולחן, ומי שהיה על הרצפה התחיל לקום, וזה שקם מהרצפה אמר משהו לאלכס. אלכס הסתובב, ועוד פעם הלך לכיוון זה שהיה על הרצפה לפני זה</w:t>
      </w:r>
      <w:r>
        <w:rPr>
          <w:rFonts w:ascii="David" w:hAnsi="David" w:hint="cs"/>
          <w:b/>
          <w:bCs/>
          <w:rtl/>
        </w:rPr>
        <w:t xml:space="preserve"> </w:t>
      </w:r>
      <w:r w:rsidR="00EE7869">
        <w:rPr>
          <w:rFonts w:ascii="David" w:hAnsi="David"/>
          <w:b/>
          <w:bCs/>
          <w:rtl/>
        </w:rPr>
        <w:t>... ואחרי זה היו צעקות, הוא פגע בי עם סכין...</w:t>
      </w:r>
      <w:r>
        <w:rPr>
          <w:rFonts w:ascii="David" w:hAnsi="David"/>
          <w:rtl/>
        </w:rPr>
        <w:t>" (עמ' 175 ש' 20-28</w:t>
      </w:r>
      <w:r>
        <w:rPr>
          <w:rFonts w:ascii="David" w:hAnsi="David" w:hint="cs"/>
          <w:rtl/>
        </w:rPr>
        <w:t>)</w:t>
      </w:r>
      <w:r w:rsidR="00EE7869">
        <w:rPr>
          <w:rFonts w:ascii="David" w:hAnsi="David"/>
          <w:rtl/>
        </w:rPr>
        <w:t xml:space="preserve">. העדה הבהירה כי בין שני המקטעים חלפו </w:t>
      </w:r>
      <w:r w:rsidR="00EE7869" w:rsidRPr="00AC3351">
        <w:rPr>
          <w:rFonts w:ascii="David" w:hAnsi="David"/>
          <w:rtl/>
        </w:rPr>
        <w:t>"</w:t>
      </w:r>
      <w:r w:rsidR="00EE7869">
        <w:rPr>
          <w:rFonts w:ascii="David" w:hAnsi="David"/>
          <w:b/>
          <w:bCs/>
          <w:rtl/>
        </w:rPr>
        <w:t>אולי 15 שניות</w:t>
      </w:r>
      <w:r w:rsidR="00EE7869" w:rsidRPr="00AC3351">
        <w:rPr>
          <w:rFonts w:ascii="David" w:hAnsi="David"/>
          <w:rtl/>
        </w:rPr>
        <w:t>"</w:t>
      </w:r>
      <w:r w:rsidR="00EE7869">
        <w:rPr>
          <w:rFonts w:ascii="David" w:hAnsi="David"/>
          <w:rtl/>
        </w:rPr>
        <w:t xml:space="preserve"> (עמ' 178 ש' 20).</w:t>
      </w:r>
    </w:p>
    <w:p w:rsidR="00EE7869" w:rsidRDefault="00EE7869" w:rsidP="00EE7869">
      <w:pPr>
        <w:spacing w:line="360" w:lineRule="auto"/>
        <w:ind w:left="720" w:hanging="720"/>
        <w:jc w:val="both"/>
        <w:rPr>
          <w:rFonts w:ascii="David" w:hAnsi="David"/>
          <w:rtl/>
        </w:rPr>
      </w:pPr>
    </w:p>
    <w:p w:rsidR="00EE7869" w:rsidRDefault="00EE7869" w:rsidP="00AC3351">
      <w:pPr>
        <w:spacing w:line="360" w:lineRule="auto"/>
        <w:ind w:left="1440" w:hanging="720"/>
        <w:jc w:val="both"/>
        <w:rPr>
          <w:rFonts w:ascii="David" w:hAnsi="David"/>
          <w:rtl/>
        </w:rPr>
      </w:pPr>
      <w:r>
        <w:rPr>
          <w:rFonts w:ascii="David" w:hAnsi="David"/>
          <w:rtl/>
        </w:rPr>
        <w:t>ד.</w:t>
      </w:r>
      <w:r>
        <w:rPr>
          <w:rFonts w:ascii="David" w:hAnsi="David"/>
          <w:rtl/>
        </w:rPr>
        <w:tab/>
        <w:t xml:space="preserve">מר גרגורי שווצנקו, חברו של הנאשם, העיד כי בשלב מסויים של הערב, נפרד מהחבורה למשך כ 20 דקות, וכאשר חזר ראה את הנאשם חבול מוטל על הקרקע. העד סיפר כי החל לברר מה קרה לנאשם ותוך כדי הבירור שמע את המתלונן אומר כי נדקר. כאשר העד נשאל כמה זמן חלף מהרגע שבו החל לברר מה קרה לנאשם ועד לרגע שבו המתלונן אמר כי נדקר השיב </w:t>
      </w:r>
      <w:r>
        <w:rPr>
          <w:rFonts w:ascii="David" w:hAnsi="David"/>
          <w:b/>
          <w:bCs/>
          <w:rtl/>
        </w:rPr>
        <w:t xml:space="preserve">" אולי 20-30 שניות " </w:t>
      </w:r>
      <w:r w:rsidR="00AC3351">
        <w:rPr>
          <w:rFonts w:ascii="David" w:hAnsi="David"/>
          <w:rtl/>
        </w:rPr>
        <w:t>(עמ' 194 ש' 16</w:t>
      </w:r>
      <w:r>
        <w:rPr>
          <w:rFonts w:ascii="David" w:hAnsi="David"/>
          <w:rtl/>
        </w:rPr>
        <w:t xml:space="preserve">). </w:t>
      </w:r>
    </w:p>
    <w:p w:rsidR="00EE7869" w:rsidRDefault="00EE7869" w:rsidP="00EE7869">
      <w:pPr>
        <w:spacing w:line="360" w:lineRule="auto"/>
        <w:ind w:left="720" w:hanging="720"/>
        <w:jc w:val="both"/>
        <w:rPr>
          <w:rFonts w:ascii="David" w:hAnsi="David"/>
          <w:rtl/>
        </w:rPr>
      </w:pPr>
    </w:p>
    <w:p w:rsidR="00EE7869" w:rsidRDefault="00EE7869" w:rsidP="00154FCA">
      <w:pPr>
        <w:spacing w:line="360" w:lineRule="auto"/>
        <w:ind w:left="1440" w:hanging="720"/>
        <w:jc w:val="both"/>
        <w:rPr>
          <w:rFonts w:ascii="David" w:hAnsi="David"/>
          <w:rtl/>
        </w:rPr>
      </w:pPr>
      <w:r>
        <w:rPr>
          <w:rFonts w:ascii="David" w:hAnsi="David"/>
          <w:rtl/>
        </w:rPr>
        <w:t>ה.</w:t>
      </w:r>
      <w:r>
        <w:rPr>
          <w:rFonts w:ascii="David" w:hAnsi="David"/>
          <w:rtl/>
        </w:rPr>
        <w:tab/>
        <w:t>מר רומן שמטקו העיד כי הכיר את הנאשם ואת אשתו של הנאש</w:t>
      </w:r>
      <w:r w:rsidR="00154FCA">
        <w:rPr>
          <w:rFonts w:ascii="David" w:hAnsi="David"/>
          <w:rtl/>
        </w:rPr>
        <w:t>ם עובר לאירוע</w:t>
      </w:r>
      <w:r>
        <w:rPr>
          <w:rFonts w:ascii="David" w:hAnsi="David"/>
          <w:rtl/>
        </w:rPr>
        <w:t xml:space="preserve">, וכי  הנאשם והמתלונן </w:t>
      </w:r>
      <w:r w:rsidR="00154FCA">
        <w:rPr>
          <w:rFonts w:ascii="David" w:hAnsi="David"/>
          <w:b/>
          <w:bCs/>
          <w:rtl/>
        </w:rPr>
        <w:t>"התחילו לריב על משהו</w:t>
      </w:r>
      <w:r>
        <w:rPr>
          <w:rFonts w:ascii="David" w:hAnsi="David"/>
          <w:b/>
          <w:bCs/>
          <w:rtl/>
        </w:rPr>
        <w:t>,</w:t>
      </w:r>
      <w:r w:rsidR="00154FCA">
        <w:rPr>
          <w:rFonts w:ascii="David" w:hAnsi="David" w:hint="cs"/>
          <w:b/>
          <w:bCs/>
          <w:rtl/>
        </w:rPr>
        <w:t xml:space="preserve"> </w:t>
      </w:r>
      <w:r>
        <w:rPr>
          <w:rFonts w:ascii="David" w:hAnsi="David"/>
          <w:b/>
          <w:bCs/>
          <w:rtl/>
        </w:rPr>
        <w:t>להתווכח"</w:t>
      </w:r>
      <w:r w:rsidR="00154FCA">
        <w:rPr>
          <w:rFonts w:ascii="David" w:hAnsi="David"/>
          <w:rtl/>
        </w:rPr>
        <w:t xml:space="preserve"> (</w:t>
      </w:r>
      <w:r>
        <w:rPr>
          <w:rFonts w:ascii="David" w:hAnsi="David"/>
          <w:rtl/>
        </w:rPr>
        <w:t xml:space="preserve">עמ' 199 ש' 17-18). לדבריו המתלונן קם ממקומו במהירות והחל להכות את הנאשם, וכי הוא ניסה להפריד ביניהם </w:t>
      </w:r>
      <w:r>
        <w:rPr>
          <w:rFonts w:ascii="David" w:hAnsi="David"/>
          <w:b/>
          <w:bCs/>
          <w:rtl/>
        </w:rPr>
        <w:t>"... ואז באותו הרגע הצלחתי להרחיק את סאשה, ואז הגיע גרישה והתחיל לשאול מה קרה. כשגרישה הגיע אני הסתובבתי , והלכתי לכיוון השולחן,... באותו הרגע שמעתי איך שסאשה צעק, קיבלתי מכה עם סכין"</w:t>
      </w:r>
      <w:r>
        <w:rPr>
          <w:rFonts w:ascii="David" w:hAnsi="David"/>
          <w:rtl/>
        </w:rPr>
        <w:t xml:space="preserve"> (</w:t>
      </w:r>
      <w:r w:rsidR="00154FCA">
        <w:rPr>
          <w:rFonts w:ascii="David" w:hAnsi="David"/>
          <w:rtl/>
        </w:rPr>
        <w:t>עמ' 201 ש' 26-31</w:t>
      </w:r>
      <w:r>
        <w:rPr>
          <w:rFonts w:ascii="David" w:hAnsi="David"/>
          <w:rtl/>
        </w:rPr>
        <w:t xml:space="preserve">). </w:t>
      </w:r>
    </w:p>
    <w:p w:rsidR="00EE7869" w:rsidRDefault="00474EEB" w:rsidP="00EE7869">
      <w:pPr>
        <w:spacing w:line="360" w:lineRule="auto"/>
        <w:ind w:left="1440"/>
        <w:jc w:val="both"/>
        <w:rPr>
          <w:rFonts w:ascii="David" w:hAnsi="David"/>
          <w:rtl/>
        </w:rPr>
      </w:pPr>
      <w:r>
        <w:rPr>
          <w:rFonts w:ascii="David" w:hAnsi="David"/>
          <w:rtl/>
        </w:rPr>
        <w:t>לשאלת המאשימה העד השיב כי חלפ</w:t>
      </w:r>
      <w:r>
        <w:rPr>
          <w:rFonts w:ascii="David" w:hAnsi="David" w:hint="cs"/>
          <w:rtl/>
        </w:rPr>
        <w:t>ו</w:t>
      </w:r>
      <w:r w:rsidR="00EE7869">
        <w:rPr>
          <w:rFonts w:ascii="David" w:hAnsi="David"/>
          <w:rtl/>
        </w:rPr>
        <w:t xml:space="preserve"> </w:t>
      </w:r>
      <w:r w:rsidR="00EE7869">
        <w:rPr>
          <w:rFonts w:ascii="David" w:hAnsi="David"/>
          <w:b/>
          <w:bCs/>
          <w:rtl/>
        </w:rPr>
        <w:t>"אולי דקה וחצי"</w:t>
      </w:r>
      <w:r w:rsidR="00EE7869">
        <w:rPr>
          <w:rFonts w:ascii="David" w:hAnsi="David"/>
          <w:rtl/>
        </w:rPr>
        <w:t xml:space="preserve"> מהרגע שגרישה הגיע ועד הדקירה (עמ' 209 ש' 33), וכאשר נשאל בחקירתו הנגדית האם חלפו רק 10 שניות, השיב </w:t>
      </w:r>
      <w:r w:rsidR="00EE7869">
        <w:rPr>
          <w:rFonts w:ascii="David" w:hAnsi="David"/>
          <w:b/>
          <w:bCs/>
          <w:rtl/>
        </w:rPr>
        <w:t>"כן"</w:t>
      </w:r>
      <w:r w:rsidR="00EE7869">
        <w:rPr>
          <w:rFonts w:ascii="David" w:hAnsi="David"/>
          <w:rtl/>
        </w:rPr>
        <w:t xml:space="preserve"> (עמ' 210 ש' 6). </w:t>
      </w:r>
    </w:p>
    <w:p w:rsidR="00154FCA" w:rsidRDefault="00154FCA" w:rsidP="00154FCA">
      <w:pPr>
        <w:spacing w:line="360" w:lineRule="auto"/>
        <w:ind w:left="720" w:hanging="720"/>
        <w:jc w:val="both"/>
        <w:rPr>
          <w:rFonts w:ascii="David" w:hAnsi="David"/>
          <w:rtl/>
        </w:rPr>
      </w:pPr>
    </w:p>
    <w:p w:rsidR="00EE7869" w:rsidRDefault="00EE7869" w:rsidP="00154FCA">
      <w:pPr>
        <w:spacing w:line="360" w:lineRule="auto"/>
        <w:ind w:left="720" w:hanging="720"/>
        <w:jc w:val="both"/>
        <w:rPr>
          <w:rFonts w:ascii="David" w:hAnsi="David"/>
          <w:rtl/>
        </w:rPr>
      </w:pPr>
      <w:r>
        <w:rPr>
          <w:rFonts w:ascii="David" w:hAnsi="David"/>
          <w:rtl/>
        </w:rPr>
        <w:t>15.</w:t>
      </w:r>
      <w:r>
        <w:rPr>
          <w:rFonts w:ascii="David" w:hAnsi="David"/>
          <w:rtl/>
        </w:rPr>
        <w:tab/>
        <w:t xml:space="preserve">אינני מקבל את טענת ההגנה כמפורט בסעיף 18 לסיכומיה כי אין די בראיות שהביאה המאשימה כדי להוכיח מעל לכל ספק סביר כי הנאשם אחז בסכין, וכי על ביהמ"ש להסתפק בקביעה כי </w:t>
      </w:r>
      <w:r>
        <w:rPr>
          <w:rFonts w:ascii="David" w:hAnsi="David"/>
          <w:b/>
          <w:bCs/>
          <w:rtl/>
        </w:rPr>
        <w:t>"הנאשם אחז בחפץ חד אשר מצא במקום האירוע"</w:t>
      </w:r>
      <w:r>
        <w:rPr>
          <w:rFonts w:ascii="David" w:hAnsi="David"/>
          <w:rtl/>
        </w:rPr>
        <w:t>.</w:t>
      </w:r>
    </w:p>
    <w:p w:rsidR="00EE7869" w:rsidRDefault="00EE7869" w:rsidP="00EE7869">
      <w:pPr>
        <w:spacing w:line="360" w:lineRule="auto"/>
        <w:ind w:left="720" w:hanging="720"/>
        <w:jc w:val="both"/>
        <w:rPr>
          <w:rFonts w:ascii="David" w:hAnsi="David"/>
          <w:rtl/>
        </w:rPr>
      </w:pPr>
      <w:r>
        <w:rPr>
          <w:rFonts w:ascii="David" w:hAnsi="David"/>
          <w:rtl/>
        </w:rPr>
        <w:t xml:space="preserve"> </w:t>
      </w:r>
    </w:p>
    <w:p w:rsidR="00EE7869" w:rsidRDefault="00EE7869" w:rsidP="00154FCA">
      <w:pPr>
        <w:spacing w:line="360" w:lineRule="auto"/>
        <w:ind w:left="720" w:hanging="720"/>
        <w:jc w:val="both"/>
        <w:rPr>
          <w:rFonts w:ascii="David" w:hAnsi="David"/>
          <w:rtl/>
        </w:rPr>
      </w:pPr>
      <w:r>
        <w:rPr>
          <w:rFonts w:ascii="David" w:hAnsi="David"/>
          <w:rtl/>
        </w:rPr>
        <w:tab/>
        <w:t xml:space="preserve">אומנם הסכין בה נדקר המתלונן לא נמצאה והמאשימה לא הביאה בפני ביהמ"ש חוות דעת מומחה ביחס לכלי שבאמצעותו בוצעה הדקירה, אך מצאתי כי יש בצבר הראיות אשר הובאו בפני, וכפי שיפורטו להלן, כדי להוכיח מעל לכל ספק סביר כי הנאשם דקר את המתלונן באמצעות סכין. לעניין מידת ההוכחה הנדרשת יפים דברי ביהמ"ש העליון </w:t>
      </w:r>
      <w:r>
        <w:rPr>
          <w:rFonts w:ascii="David" w:hAnsi="David"/>
          <w:b/>
          <w:bCs/>
          <w:rtl/>
        </w:rPr>
        <w:t xml:space="preserve">בע"פ 9723/03 מ"י נ' שי בלזק </w:t>
      </w:r>
      <w:r>
        <w:rPr>
          <w:rFonts w:ascii="David" w:hAnsi="David"/>
          <w:rtl/>
        </w:rPr>
        <w:t>(12.10.04) כי "</w:t>
      </w:r>
      <w:r>
        <w:rPr>
          <w:rFonts w:ascii="David" w:hAnsi="David"/>
          <w:b/>
          <w:bCs/>
          <w:rtl/>
        </w:rPr>
        <w:t xml:space="preserve">כידוע, מידת ההוכחה הנדרשת בפלילים הנה הוכחה מעבר לספק סביר ולא מעבר לכל ספק". </w:t>
      </w:r>
    </w:p>
    <w:p w:rsidR="00EE7869" w:rsidRDefault="00EE7869" w:rsidP="00EE7869">
      <w:pPr>
        <w:spacing w:before="240" w:line="360" w:lineRule="auto"/>
        <w:ind w:left="1440" w:hanging="720"/>
        <w:jc w:val="both"/>
        <w:rPr>
          <w:rFonts w:ascii="David" w:hAnsi="David"/>
          <w:rtl/>
        </w:rPr>
      </w:pPr>
      <w:r>
        <w:rPr>
          <w:rFonts w:ascii="David" w:hAnsi="David"/>
          <w:rtl/>
        </w:rPr>
        <w:t>א.</w:t>
      </w:r>
      <w:r>
        <w:rPr>
          <w:rFonts w:ascii="David" w:hAnsi="David"/>
          <w:rtl/>
        </w:rPr>
        <w:tab/>
        <w:t xml:space="preserve">מר יבגני פיאנזין  העיד כי שמע את המתלונן במועד הדקירה צועק </w:t>
      </w:r>
      <w:r>
        <w:rPr>
          <w:rFonts w:ascii="David" w:hAnsi="David"/>
          <w:b/>
          <w:bCs/>
          <w:rtl/>
        </w:rPr>
        <w:t>"הוא נתן לי מכה עם סכין"</w:t>
      </w:r>
      <w:r>
        <w:rPr>
          <w:rFonts w:ascii="David" w:hAnsi="David"/>
          <w:rtl/>
        </w:rPr>
        <w:t xml:space="preserve"> (עמ' 123 ש' 16), ולשאלת ב"כ המאשי</w:t>
      </w:r>
      <w:r w:rsidR="00154FCA">
        <w:rPr>
          <w:rFonts w:ascii="David" w:hAnsi="David"/>
          <w:rtl/>
        </w:rPr>
        <w:t>מה מה ראה בשלב הזה ביד של הנאשם</w:t>
      </w:r>
      <w:r>
        <w:rPr>
          <w:rFonts w:ascii="David" w:hAnsi="David"/>
          <w:rtl/>
        </w:rPr>
        <w:t xml:space="preserve">, השיב </w:t>
      </w:r>
      <w:r>
        <w:rPr>
          <w:rFonts w:ascii="David" w:hAnsi="David"/>
          <w:b/>
          <w:bCs/>
          <w:rtl/>
        </w:rPr>
        <w:t xml:space="preserve">"אני, עכשיו אני כבר לא זוכר... במשטרה אני אמרתי שאני ראיתי סכין, או משהו דומה לסכין..." </w:t>
      </w:r>
      <w:r>
        <w:rPr>
          <w:rFonts w:ascii="David" w:hAnsi="David"/>
          <w:rtl/>
        </w:rPr>
        <w:t>(עמ' 124 ש' 27-32). כאשר נשאל מה אמר במשטרה לגבי אורך הסכין השיב 12 ס"מ-</w:t>
      </w:r>
      <w:r>
        <w:rPr>
          <w:rFonts w:ascii="David" w:hAnsi="David"/>
          <w:b/>
          <w:bCs/>
          <w:rtl/>
        </w:rPr>
        <w:t xml:space="preserve"> "נו? 12, משהו כזה אולי, ככה" </w:t>
      </w:r>
      <w:r>
        <w:rPr>
          <w:rFonts w:ascii="David" w:hAnsi="David"/>
          <w:rtl/>
        </w:rPr>
        <w:t>(עמ' 125 ש' 8)</w:t>
      </w:r>
      <w:r>
        <w:rPr>
          <w:rFonts w:ascii="David" w:hAnsi="David"/>
          <w:b/>
          <w:bCs/>
          <w:rtl/>
        </w:rPr>
        <w:t xml:space="preserve">, </w:t>
      </w:r>
      <w:r>
        <w:rPr>
          <w:rFonts w:ascii="David" w:hAnsi="David"/>
          <w:rtl/>
        </w:rPr>
        <w:t xml:space="preserve">ולאחר שזכרונו רוענן כי במשטרה אמר כי אורך הלהב היה כ- 15 ס"מ, השיב </w:t>
      </w:r>
      <w:r>
        <w:rPr>
          <w:rFonts w:ascii="David" w:hAnsi="David"/>
          <w:b/>
          <w:bCs/>
          <w:rtl/>
        </w:rPr>
        <w:t>"אם את זה אמרתי לפני שנה, אז ברור שאני זוכר יותר טוב, עכשיו אני שכחתי כבר על כל זה".</w:t>
      </w:r>
      <w:r>
        <w:rPr>
          <w:rFonts w:ascii="David" w:hAnsi="David"/>
          <w:rtl/>
        </w:rPr>
        <w:t xml:space="preserve"> (עמ' 125 ש' 16-17). </w:t>
      </w:r>
    </w:p>
    <w:p w:rsidR="00EE7869" w:rsidRDefault="00EE7869" w:rsidP="00EE7869">
      <w:pPr>
        <w:spacing w:line="360" w:lineRule="auto"/>
        <w:ind w:left="1440"/>
        <w:jc w:val="both"/>
        <w:rPr>
          <w:rFonts w:ascii="David" w:hAnsi="David"/>
          <w:rtl/>
        </w:rPr>
      </w:pPr>
      <w:r>
        <w:rPr>
          <w:rFonts w:ascii="David" w:hAnsi="David"/>
          <w:rtl/>
        </w:rPr>
        <w:t xml:space="preserve">בחקירתו הנגדית ולשאלת הסנגור ביחס לסכין השיב </w:t>
      </w:r>
      <w:r>
        <w:rPr>
          <w:rFonts w:ascii="David" w:hAnsi="David"/>
          <w:b/>
          <w:bCs/>
          <w:rtl/>
        </w:rPr>
        <w:t>"אני ראיתי משהו, אולי, אבל אני, עכשיו אני לא יכול להגיד שמשהו... אני שכחתי את התמונה הזו"</w:t>
      </w:r>
      <w:r>
        <w:rPr>
          <w:rFonts w:ascii="David" w:hAnsi="David"/>
          <w:rtl/>
        </w:rPr>
        <w:t xml:space="preserve"> (עמ' 145 ש' 21-25). </w:t>
      </w:r>
    </w:p>
    <w:p w:rsidR="00EE7869" w:rsidRDefault="00EE7869" w:rsidP="00EE7869">
      <w:pPr>
        <w:spacing w:line="360" w:lineRule="auto"/>
        <w:ind w:left="1440"/>
        <w:jc w:val="both"/>
        <w:rPr>
          <w:rFonts w:ascii="David" w:hAnsi="David"/>
          <w:b/>
          <w:bCs/>
          <w:rtl/>
        </w:rPr>
      </w:pPr>
      <w:r>
        <w:rPr>
          <w:rFonts w:ascii="David" w:hAnsi="David"/>
          <w:rtl/>
        </w:rPr>
        <w:t xml:space="preserve">בהודעתו במשטרה (ת/12) שנגבתה בסמוך לאחר אירוע הדקירה, מסר העד פיאנזין כי: </w:t>
      </w:r>
      <w:r>
        <w:rPr>
          <w:rFonts w:ascii="David" w:hAnsi="David"/>
          <w:b/>
          <w:bCs/>
          <w:rtl/>
        </w:rPr>
        <w:t xml:space="preserve">"ראיתי אצל זניה סכין ביד... הוא החזיק סכין ראיתי להב כ 15 ס"מ...". </w:t>
      </w:r>
    </w:p>
    <w:p w:rsidR="00EE7869" w:rsidRPr="00154FCA" w:rsidRDefault="00EE7869" w:rsidP="00EE7869">
      <w:pPr>
        <w:spacing w:line="360" w:lineRule="auto"/>
        <w:ind w:left="1440"/>
        <w:jc w:val="both"/>
        <w:rPr>
          <w:rFonts w:ascii="David" w:hAnsi="David"/>
          <w:sz w:val="14"/>
          <w:szCs w:val="14"/>
          <w:highlight w:val="yellow"/>
          <w:rtl/>
        </w:rPr>
      </w:pPr>
    </w:p>
    <w:p w:rsidR="00EE7869" w:rsidRDefault="00EE7869" w:rsidP="00EE7869">
      <w:pPr>
        <w:spacing w:line="360" w:lineRule="auto"/>
        <w:ind w:left="1440" w:hanging="720"/>
        <w:jc w:val="both"/>
        <w:rPr>
          <w:rFonts w:ascii="David" w:hAnsi="David"/>
          <w:b/>
          <w:bCs/>
          <w:rtl/>
        </w:rPr>
      </w:pPr>
      <w:r>
        <w:rPr>
          <w:rFonts w:ascii="David" w:hAnsi="David"/>
          <w:rtl/>
        </w:rPr>
        <w:t>ב.</w:t>
      </w:r>
      <w:r>
        <w:rPr>
          <w:rFonts w:ascii="David" w:hAnsi="David"/>
          <w:rtl/>
        </w:rPr>
        <w:tab/>
        <w:t xml:space="preserve">מר רומן שילסולמן העיד בחקירתו הראשית כי </w:t>
      </w:r>
      <w:r>
        <w:rPr>
          <w:rFonts w:ascii="David" w:hAnsi="David"/>
          <w:b/>
          <w:bCs/>
          <w:rtl/>
        </w:rPr>
        <w:t>"... ואני ראיתי שיש אצל הבחור סכין... אצל הבחור השני, שקיבל מכות... האורך היה משהו כמו 13 סנטים,</w:t>
      </w:r>
      <w:r w:rsidR="00474EEB">
        <w:rPr>
          <w:rFonts w:ascii="David" w:hAnsi="David" w:hint="cs"/>
          <w:b/>
          <w:bCs/>
          <w:rtl/>
        </w:rPr>
        <w:t xml:space="preserve"> </w:t>
      </w:r>
    </w:p>
    <w:p w:rsidR="00EE7869" w:rsidRDefault="00EE7869" w:rsidP="00474EEB">
      <w:pPr>
        <w:spacing w:line="360" w:lineRule="auto"/>
        <w:ind w:left="720" w:firstLine="720"/>
        <w:jc w:val="both"/>
        <w:rPr>
          <w:rFonts w:ascii="David" w:hAnsi="David"/>
          <w:rtl/>
        </w:rPr>
      </w:pPr>
      <w:r>
        <w:rPr>
          <w:rFonts w:ascii="David" w:hAnsi="David"/>
          <w:b/>
          <w:bCs/>
          <w:rtl/>
        </w:rPr>
        <w:t xml:space="preserve">13-10" </w:t>
      </w:r>
      <w:r>
        <w:rPr>
          <w:rFonts w:ascii="David" w:hAnsi="David"/>
          <w:rtl/>
        </w:rPr>
        <w:t xml:space="preserve">(עמ' 158 ש' 1-18). </w:t>
      </w:r>
    </w:p>
    <w:p w:rsidR="00EE7869" w:rsidRDefault="00EE7869" w:rsidP="00EE7869">
      <w:pPr>
        <w:spacing w:line="360" w:lineRule="auto"/>
        <w:ind w:left="1440"/>
        <w:jc w:val="both"/>
        <w:rPr>
          <w:rFonts w:ascii="David" w:hAnsi="David"/>
          <w:rtl/>
        </w:rPr>
      </w:pPr>
      <w:r>
        <w:rPr>
          <w:rFonts w:ascii="David" w:hAnsi="David"/>
          <w:rtl/>
        </w:rPr>
        <w:t xml:space="preserve">לשאלת ההגנה האם הוא בטוח שראה סכין, השיב העד </w:t>
      </w:r>
      <w:r>
        <w:rPr>
          <w:rFonts w:ascii="David" w:hAnsi="David"/>
          <w:b/>
          <w:bCs/>
          <w:rtl/>
        </w:rPr>
        <w:t>"אני ראיתי צבע כמו סכין... וזה גם יוצא כמו סכין, אז זה נראה כמו סכין... בדיוק אני לא יכול להגיד שזו סכין... זה נראה כמו סכין</w:t>
      </w:r>
      <w:r>
        <w:rPr>
          <w:rFonts w:ascii="David" w:hAnsi="David"/>
          <w:rtl/>
        </w:rPr>
        <w:t xml:space="preserve">" (עמ' 169 ש' 10-32). </w:t>
      </w:r>
    </w:p>
    <w:p w:rsidR="00EE7869" w:rsidRPr="00154FCA" w:rsidRDefault="00154FCA" w:rsidP="00EE7869">
      <w:pPr>
        <w:spacing w:line="360" w:lineRule="auto"/>
        <w:ind w:left="1440"/>
        <w:jc w:val="both"/>
        <w:rPr>
          <w:rFonts w:ascii="David" w:hAnsi="David"/>
          <w:sz w:val="12"/>
          <w:szCs w:val="12"/>
          <w:rtl/>
        </w:rPr>
      </w:pPr>
      <w:r>
        <w:rPr>
          <w:rFonts w:ascii="David" w:hAnsi="David"/>
          <w:rtl/>
        </w:rPr>
        <w:softHyphen/>
      </w:r>
      <w:r>
        <w:rPr>
          <w:rFonts w:ascii="David" w:hAnsi="David"/>
          <w:rtl/>
        </w:rPr>
        <w:softHyphen/>
      </w:r>
    </w:p>
    <w:p w:rsidR="00EE7869" w:rsidRDefault="00EE7869" w:rsidP="00EE7869">
      <w:pPr>
        <w:spacing w:line="360" w:lineRule="auto"/>
        <w:ind w:left="1440"/>
        <w:jc w:val="both"/>
        <w:rPr>
          <w:rFonts w:ascii="David" w:hAnsi="David"/>
          <w:rtl/>
        </w:rPr>
      </w:pPr>
      <w:r>
        <w:rPr>
          <w:rFonts w:ascii="David" w:hAnsi="David"/>
          <w:rtl/>
        </w:rPr>
        <w:t xml:space="preserve">זאת ועוד, במהלך החקירה הנגדית, הציג הסנגור  בפני העד סכין מטבח. העד אישר כי צבעו של הסכין שאחז הנאשם היה כצבע הסכין שהסנגור אחז וכי אורך הלהב שלו היה ארוך יותר (עמ' 170 ש' 1-11). </w:t>
      </w:r>
    </w:p>
    <w:p w:rsidR="00EE7869" w:rsidRPr="00154FCA" w:rsidRDefault="00EE7869" w:rsidP="00EE7869">
      <w:pPr>
        <w:spacing w:line="360" w:lineRule="auto"/>
        <w:ind w:left="720" w:hanging="720"/>
        <w:jc w:val="both"/>
        <w:rPr>
          <w:rFonts w:ascii="David" w:hAnsi="David"/>
          <w:sz w:val="12"/>
          <w:szCs w:val="12"/>
          <w:rtl/>
        </w:rPr>
      </w:pPr>
    </w:p>
    <w:p w:rsidR="00EE7869" w:rsidRDefault="00EE7869" w:rsidP="00154FCA">
      <w:pPr>
        <w:spacing w:line="360" w:lineRule="auto"/>
        <w:ind w:left="1440" w:hanging="720"/>
        <w:jc w:val="both"/>
        <w:rPr>
          <w:rFonts w:ascii="David" w:hAnsi="David"/>
          <w:rtl/>
        </w:rPr>
      </w:pPr>
      <w:r>
        <w:rPr>
          <w:rFonts w:ascii="David" w:hAnsi="David"/>
          <w:rtl/>
        </w:rPr>
        <w:t>ג.</w:t>
      </w:r>
      <w:r>
        <w:rPr>
          <w:rFonts w:ascii="David" w:hAnsi="David"/>
          <w:rtl/>
        </w:rPr>
        <w:tab/>
        <w:t xml:space="preserve">במהלך עדותו לקה הנאשם "בזיכרון סלקטיבי" ולמרות שניסה להרחיק עצמו מהאישום המיוחס לו (ולכך אתייחס בהמשך הכרעת הדין), הרי שבסופו של דבר לא שלל את האפשרות כי יתכן ודקר את המתלונן באמצעות סכין: </w:t>
      </w:r>
      <w:r>
        <w:rPr>
          <w:rFonts w:ascii="David" w:hAnsi="David"/>
          <w:b/>
          <w:bCs/>
          <w:rtl/>
        </w:rPr>
        <w:t xml:space="preserve">"אני לא יודע מה מצאתי... אני עשיתי הערכה... יכול להיות מקל, זו יכולה להיות זכוכית, זו יכולה להיות  סכין, זה יכול להיות שיפוד וזה יכול להיות מסמר" </w:t>
      </w:r>
      <w:r w:rsidR="00154FCA">
        <w:rPr>
          <w:rFonts w:ascii="David" w:hAnsi="David"/>
          <w:rtl/>
        </w:rPr>
        <w:t>(</w:t>
      </w:r>
      <w:r>
        <w:rPr>
          <w:rFonts w:ascii="David" w:hAnsi="David"/>
          <w:rtl/>
        </w:rPr>
        <w:t>עמ' 362 ש' 4-11).</w:t>
      </w:r>
    </w:p>
    <w:p w:rsidR="00EE7869" w:rsidRDefault="00EE7869" w:rsidP="00EE7869">
      <w:pPr>
        <w:spacing w:line="360" w:lineRule="auto"/>
        <w:ind w:left="720" w:hanging="720"/>
        <w:jc w:val="both"/>
        <w:rPr>
          <w:rFonts w:ascii="David" w:hAnsi="David"/>
          <w:rtl/>
        </w:rPr>
      </w:pPr>
    </w:p>
    <w:p w:rsidR="00500DDB" w:rsidRDefault="00500DDB" w:rsidP="00EE7869">
      <w:pPr>
        <w:spacing w:line="360" w:lineRule="auto"/>
        <w:jc w:val="both"/>
        <w:rPr>
          <w:rFonts w:ascii="David" w:hAnsi="David"/>
          <w:b/>
          <w:bCs/>
          <w:u w:val="single"/>
          <w:rtl/>
        </w:rPr>
      </w:pPr>
    </w:p>
    <w:p w:rsidR="00500DDB" w:rsidRDefault="00500DDB" w:rsidP="00EE7869">
      <w:pPr>
        <w:spacing w:line="360" w:lineRule="auto"/>
        <w:jc w:val="both"/>
        <w:rPr>
          <w:rFonts w:ascii="David" w:hAnsi="David"/>
          <w:b/>
          <w:bCs/>
          <w:u w:val="single"/>
          <w:rtl/>
        </w:rPr>
      </w:pPr>
    </w:p>
    <w:p w:rsidR="00500DDB" w:rsidRDefault="00500DDB" w:rsidP="00EE7869">
      <w:pPr>
        <w:spacing w:line="360" w:lineRule="auto"/>
        <w:jc w:val="both"/>
        <w:rPr>
          <w:rFonts w:ascii="David" w:hAnsi="David"/>
          <w:b/>
          <w:bCs/>
          <w:u w:val="single"/>
          <w:rtl/>
        </w:rPr>
      </w:pPr>
    </w:p>
    <w:p w:rsidR="00500DDB" w:rsidRDefault="00500DDB" w:rsidP="00EE7869">
      <w:pPr>
        <w:spacing w:line="360" w:lineRule="auto"/>
        <w:jc w:val="both"/>
        <w:rPr>
          <w:rFonts w:ascii="David" w:hAnsi="David"/>
          <w:b/>
          <w:bCs/>
          <w:u w:val="single"/>
          <w:rtl/>
        </w:rPr>
      </w:pPr>
    </w:p>
    <w:p w:rsidR="00500DDB" w:rsidRDefault="00500DDB" w:rsidP="00EE7869">
      <w:pPr>
        <w:spacing w:line="360" w:lineRule="auto"/>
        <w:jc w:val="both"/>
        <w:rPr>
          <w:rFonts w:ascii="David" w:hAnsi="David"/>
          <w:b/>
          <w:bCs/>
          <w:u w:val="single"/>
          <w:rtl/>
        </w:rPr>
      </w:pPr>
    </w:p>
    <w:p w:rsidR="00EE7869" w:rsidRDefault="00EE7869" w:rsidP="00EE7869">
      <w:pPr>
        <w:spacing w:line="360" w:lineRule="auto"/>
        <w:jc w:val="both"/>
        <w:rPr>
          <w:rFonts w:ascii="David" w:hAnsi="David"/>
          <w:b/>
          <w:bCs/>
          <w:u w:val="single"/>
          <w:rtl/>
        </w:rPr>
      </w:pPr>
      <w:r>
        <w:rPr>
          <w:rFonts w:ascii="David" w:hAnsi="David"/>
          <w:b/>
          <w:bCs/>
          <w:u w:val="single"/>
          <w:rtl/>
        </w:rPr>
        <w:t xml:space="preserve">טענת הגנה עצמית </w:t>
      </w:r>
    </w:p>
    <w:p w:rsidR="00EE7869" w:rsidRPr="00154FCA" w:rsidRDefault="00EE7869" w:rsidP="00EE7869">
      <w:pPr>
        <w:spacing w:line="360" w:lineRule="auto"/>
        <w:jc w:val="both"/>
        <w:rPr>
          <w:rFonts w:ascii="David" w:hAnsi="David"/>
          <w:b/>
          <w:bCs/>
          <w:sz w:val="16"/>
          <w:szCs w:val="16"/>
          <w:u w:val="single"/>
          <w:rtl/>
        </w:rPr>
      </w:pPr>
    </w:p>
    <w:p w:rsidR="00EE7869" w:rsidRDefault="00EE7869" w:rsidP="00EE7869">
      <w:pPr>
        <w:spacing w:line="360" w:lineRule="auto"/>
        <w:ind w:left="720" w:hanging="720"/>
        <w:jc w:val="both"/>
        <w:rPr>
          <w:rFonts w:ascii="David" w:hAnsi="David"/>
          <w:rtl/>
        </w:rPr>
      </w:pPr>
      <w:r>
        <w:rPr>
          <w:rFonts w:ascii="David" w:hAnsi="David"/>
          <w:rtl/>
        </w:rPr>
        <w:t>16.</w:t>
      </w:r>
      <w:r>
        <w:rPr>
          <w:rFonts w:ascii="David" w:hAnsi="David"/>
          <w:rtl/>
        </w:rPr>
        <w:tab/>
        <w:t xml:space="preserve">טענת ההגנה המרכזית של הנאשם בענייננו הינה כי פעל מתוך הגנה עצמית בהתאם להוראת סעיף 34י לחוק העונשין אשר קובעת כי: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David" w:hAnsi="David"/>
          <w:b/>
          <w:bCs/>
          <w:rtl/>
        </w:rPr>
        <w:tab/>
        <w:t>"לא יישא אדם באחריות פלילית למעשה שהיה דרוש באופן מיידי כדי להדוף תקיפה שלא כדין שנשקפה ממנה סכנה מוחשית של פגיעה בחייו, בחירותו, בגופו או ברכושו, שלו או של זולתו; ואולם, אין אדם פועל תוך הגנה עצמית מקום שהביא בהתנהגותו הפסולה לתקיפה תוך שהוא צופה מראש את אפשרות התפתחות הדברים".</w:t>
      </w:r>
    </w:p>
    <w:p w:rsidR="00EE7869" w:rsidRDefault="00EE7869" w:rsidP="00EE7869">
      <w:pPr>
        <w:spacing w:line="360" w:lineRule="auto"/>
        <w:ind w:left="720" w:hanging="720"/>
        <w:jc w:val="both"/>
        <w:rPr>
          <w:rFonts w:ascii="David" w:hAnsi="David"/>
          <w:b/>
          <w:bCs/>
          <w:rtl/>
        </w:rPr>
      </w:pPr>
    </w:p>
    <w:p w:rsidR="00EE7869" w:rsidRDefault="00EE7869" w:rsidP="00EE7869">
      <w:pPr>
        <w:spacing w:line="360" w:lineRule="auto"/>
        <w:ind w:left="720" w:hanging="720"/>
        <w:jc w:val="both"/>
        <w:rPr>
          <w:rFonts w:ascii="David" w:hAnsi="David"/>
          <w:rtl/>
        </w:rPr>
      </w:pPr>
      <w:r>
        <w:rPr>
          <w:rFonts w:ascii="David" w:hAnsi="David"/>
          <w:rtl/>
        </w:rPr>
        <w:t>17.</w:t>
      </w:r>
      <w:r>
        <w:rPr>
          <w:rFonts w:ascii="David" w:hAnsi="David"/>
          <w:rtl/>
        </w:rPr>
        <w:tab/>
        <w:t xml:space="preserve">כידוע , סעיף 34טז לחוק העונשין משלים את הוראת סעיף 34י לחוק ומורה כי: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David" w:hAnsi="David"/>
          <w:b/>
          <w:bCs/>
          <w:rtl/>
        </w:rPr>
        <w:tab/>
        <w:t xml:space="preserve">"הוראות סעיפים 34י... לא יחולו כאשר המעשה לא היה סביר בנסיבות העניין לשם מניעת הפגיעה". </w:t>
      </w:r>
    </w:p>
    <w:p w:rsidR="00EE7869" w:rsidRDefault="00EE7869" w:rsidP="00EE7869">
      <w:pPr>
        <w:spacing w:line="360" w:lineRule="auto"/>
        <w:ind w:left="720" w:hanging="720"/>
        <w:jc w:val="both"/>
        <w:rPr>
          <w:rFonts w:ascii="David" w:hAnsi="David"/>
          <w:b/>
          <w:bCs/>
          <w:rtl/>
        </w:rPr>
      </w:pPr>
    </w:p>
    <w:p w:rsidR="00EE7869" w:rsidRDefault="00EE7869" w:rsidP="00EE7869">
      <w:pPr>
        <w:spacing w:line="360" w:lineRule="auto"/>
        <w:ind w:left="720"/>
        <w:jc w:val="both"/>
        <w:rPr>
          <w:rFonts w:ascii="David" w:hAnsi="David"/>
          <w:rtl/>
        </w:rPr>
      </w:pPr>
      <w:r>
        <w:rPr>
          <w:rFonts w:ascii="David" w:hAnsi="David"/>
          <w:rtl/>
        </w:rPr>
        <w:t>הנטל להוכחת קיומו של סייג לאחריות פלילית, ובכלל זה טענת ההגנה העצמית, עובר לשכמו של הנאשם, ומידת ההוכחה מפורטת בהוראת סעיף 34כב (ב) לחוק העונשין לפיה:</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David" w:hAnsi="David"/>
          <w:b/>
          <w:bCs/>
          <w:rtl/>
        </w:rPr>
        <w:tab/>
        <w:t>"התעורר ספק שמא קיים סייג לאחריות פלילית, והספק לא הוסר, יחול הסייג".</w:t>
      </w:r>
    </w:p>
    <w:p w:rsidR="00EE7869" w:rsidRDefault="00EE7869" w:rsidP="00EE7869">
      <w:pPr>
        <w:spacing w:line="360" w:lineRule="auto"/>
        <w:ind w:left="720" w:hanging="720"/>
        <w:jc w:val="both"/>
        <w:rPr>
          <w:rFonts w:ascii="David" w:hAnsi="David"/>
          <w:b/>
          <w:bCs/>
          <w:rtl/>
        </w:rPr>
      </w:pPr>
    </w:p>
    <w:p w:rsidR="00EE7869" w:rsidRDefault="00C3669C" w:rsidP="00EE7869">
      <w:pPr>
        <w:spacing w:line="360" w:lineRule="auto"/>
        <w:ind w:left="720" w:hanging="720"/>
        <w:jc w:val="both"/>
        <w:rPr>
          <w:rFonts w:ascii="David" w:hAnsi="David"/>
          <w:rtl/>
        </w:rPr>
      </w:pPr>
      <w:r>
        <w:rPr>
          <w:rFonts w:ascii="David" w:hAnsi="David" w:hint="cs"/>
          <w:rtl/>
        </w:rPr>
        <w:t>18</w:t>
      </w:r>
      <w:r w:rsidR="00EE7869">
        <w:rPr>
          <w:rFonts w:ascii="David" w:hAnsi="David"/>
          <w:rtl/>
        </w:rPr>
        <w:t>.</w:t>
      </w:r>
      <w:r w:rsidR="00EE7869">
        <w:rPr>
          <w:rFonts w:ascii="David" w:hAnsi="David"/>
          <w:rtl/>
        </w:rPr>
        <w:tab/>
        <w:t xml:space="preserve">הפסיקה קבעה שישה תנאים מצטברים אשר בהתקיימותם יעמוד לנאשם סייג ההגנה העצמית.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t>א.</w:t>
      </w:r>
      <w:r>
        <w:rPr>
          <w:rFonts w:ascii="David" w:hAnsi="David"/>
          <w:rtl/>
        </w:rPr>
        <w:tab/>
        <w:t xml:space="preserve">קיומה של תקיפה שלא כדין. </w:t>
      </w:r>
    </w:p>
    <w:p w:rsidR="00EE7869" w:rsidRDefault="00EE7869" w:rsidP="00EE7869">
      <w:pPr>
        <w:spacing w:line="360" w:lineRule="auto"/>
        <w:ind w:left="720" w:hanging="720"/>
        <w:jc w:val="both"/>
        <w:rPr>
          <w:rFonts w:ascii="David" w:hAnsi="David"/>
          <w:sz w:val="16"/>
          <w:szCs w:val="16"/>
          <w:rtl/>
        </w:rPr>
      </w:pPr>
    </w:p>
    <w:p w:rsidR="00EE7869" w:rsidRDefault="00EE7869" w:rsidP="00EE7869">
      <w:pPr>
        <w:spacing w:line="360" w:lineRule="auto"/>
        <w:ind w:left="1440" w:hanging="720"/>
        <w:jc w:val="both"/>
        <w:rPr>
          <w:rFonts w:ascii="David" w:hAnsi="David"/>
          <w:rtl/>
        </w:rPr>
      </w:pPr>
      <w:r>
        <w:rPr>
          <w:rFonts w:ascii="David" w:hAnsi="David"/>
          <w:rtl/>
        </w:rPr>
        <w:t>ב.</w:t>
      </w:r>
      <w:r>
        <w:rPr>
          <w:rFonts w:ascii="David" w:hAnsi="David"/>
          <w:rtl/>
        </w:rPr>
        <w:tab/>
        <w:t xml:space="preserve">קיומה של סכנה מוחשית לפגיעה במתגונן "בחייו, בחירותו, בגופו או ברכושו שלו או של זולתו". </w:t>
      </w:r>
    </w:p>
    <w:p w:rsidR="00EE7869" w:rsidRDefault="00EE7869" w:rsidP="00EE7869">
      <w:pPr>
        <w:spacing w:line="360" w:lineRule="auto"/>
        <w:ind w:left="1440" w:hanging="720"/>
        <w:jc w:val="both"/>
        <w:rPr>
          <w:rFonts w:ascii="David" w:hAnsi="David"/>
          <w:sz w:val="16"/>
          <w:szCs w:val="16"/>
          <w:rtl/>
        </w:rPr>
      </w:pPr>
    </w:p>
    <w:p w:rsidR="00EE7869" w:rsidRDefault="00EE7869" w:rsidP="00154FCA">
      <w:pPr>
        <w:spacing w:line="360" w:lineRule="auto"/>
        <w:ind w:left="1440" w:hanging="720"/>
        <w:jc w:val="both"/>
        <w:rPr>
          <w:rFonts w:ascii="David" w:hAnsi="David"/>
          <w:rtl/>
        </w:rPr>
      </w:pPr>
      <w:r>
        <w:rPr>
          <w:rFonts w:ascii="David" w:hAnsi="David"/>
          <w:rtl/>
        </w:rPr>
        <w:t>ג.</w:t>
      </w:r>
      <w:r>
        <w:rPr>
          <w:rFonts w:ascii="David" w:hAnsi="David"/>
          <w:rtl/>
        </w:rPr>
        <w:tab/>
        <w:t>תנאי המידיות. על ההגנה להתבצע רק מרגע שהמעשה דרוש באופן מידי על מנת להדוף את התקיפה, ועליה להיפסק מרגע שלא נדרש עוד מעשה התגוננות על מנת להדוף את התקיפה.</w:t>
      </w:r>
    </w:p>
    <w:p w:rsidR="00EE7869" w:rsidRDefault="00EE7869" w:rsidP="00EE7869">
      <w:pPr>
        <w:spacing w:line="360" w:lineRule="auto"/>
        <w:ind w:left="720"/>
        <w:jc w:val="both"/>
        <w:rPr>
          <w:rFonts w:ascii="David" w:hAnsi="David"/>
          <w:sz w:val="16"/>
          <w:szCs w:val="16"/>
          <w:rtl/>
        </w:rPr>
      </w:pPr>
    </w:p>
    <w:p w:rsidR="00EE7869" w:rsidRDefault="00EE7869" w:rsidP="00EE7869">
      <w:pPr>
        <w:spacing w:line="360" w:lineRule="auto"/>
        <w:ind w:left="1440" w:hanging="720"/>
        <w:jc w:val="both"/>
        <w:rPr>
          <w:rFonts w:ascii="David" w:hAnsi="David"/>
          <w:rtl/>
        </w:rPr>
      </w:pPr>
      <w:r>
        <w:rPr>
          <w:rFonts w:ascii="David" w:hAnsi="David"/>
          <w:rtl/>
        </w:rPr>
        <w:t>ד.</w:t>
      </w:r>
      <w:r>
        <w:rPr>
          <w:rFonts w:ascii="David" w:hAnsi="David"/>
          <w:rtl/>
        </w:rPr>
        <w:tab/>
        <w:t>האדם המתגונן לא "הביא בהתנהגותו הפסולה לתקיפה תוך שהוא צופה מראש את אפשרות התפתחות הדברים".</w:t>
      </w:r>
    </w:p>
    <w:p w:rsidR="00EE7869" w:rsidRDefault="00EE7869" w:rsidP="00EE7869">
      <w:pPr>
        <w:spacing w:line="360" w:lineRule="auto"/>
        <w:ind w:left="1440" w:hanging="720"/>
        <w:jc w:val="both"/>
        <w:rPr>
          <w:rFonts w:ascii="David" w:hAnsi="David"/>
          <w:sz w:val="16"/>
          <w:szCs w:val="16"/>
          <w:rtl/>
        </w:rPr>
      </w:pPr>
    </w:p>
    <w:p w:rsidR="00EE7869" w:rsidRDefault="00EE7869" w:rsidP="00EE7869">
      <w:pPr>
        <w:spacing w:line="360" w:lineRule="auto"/>
        <w:ind w:left="720"/>
        <w:jc w:val="both"/>
        <w:rPr>
          <w:rFonts w:ascii="David" w:hAnsi="David"/>
          <w:rtl/>
        </w:rPr>
      </w:pPr>
      <w:r>
        <w:rPr>
          <w:rFonts w:ascii="David" w:hAnsi="David"/>
          <w:rtl/>
        </w:rPr>
        <w:t>ה.</w:t>
      </w:r>
      <w:r>
        <w:rPr>
          <w:rFonts w:ascii="David" w:hAnsi="David"/>
          <w:rtl/>
        </w:rPr>
        <w:tab/>
        <w:t xml:space="preserve">תנאי הנחיצות. </w:t>
      </w:r>
    </w:p>
    <w:p w:rsidR="00EE7869" w:rsidRDefault="00EE7869" w:rsidP="00EE7869">
      <w:pPr>
        <w:spacing w:line="360" w:lineRule="auto"/>
        <w:ind w:left="720"/>
        <w:jc w:val="both"/>
        <w:rPr>
          <w:rFonts w:ascii="David" w:hAnsi="David"/>
          <w:sz w:val="16"/>
          <w:szCs w:val="16"/>
          <w:rtl/>
        </w:rPr>
      </w:pPr>
    </w:p>
    <w:p w:rsidR="00EE7869" w:rsidRDefault="00EE7869" w:rsidP="00EE7869">
      <w:pPr>
        <w:spacing w:line="360" w:lineRule="auto"/>
        <w:ind w:left="720" w:hanging="720"/>
        <w:jc w:val="both"/>
        <w:rPr>
          <w:rFonts w:ascii="David" w:hAnsi="David"/>
          <w:rtl/>
        </w:rPr>
      </w:pPr>
      <w:r>
        <w:rPr>
          <w:rFonts w:ascii="David" w:hAnsi="David"/>
          <w:rtl/>
        </w:rPr>
        <w:tab/>
        <w:t>ו.</w:t>
      </w:r>
      <w:r>
        <w:rPr>
          <w:rFonts w:ascii="David" w:hAnsi="David"/>
          <w:rtl/>
        </w:rPr>
        <w:tab/>
        <w:t xml:space="preserve">תנאי הפרופורציה.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r>
        <w:rPr>
          <w:rFonts w:ascii="David" w:hAnsi="David"/>
          <w:rtl/>
        </w:rPr>
        <w:tab/>
      </w:r>
      <w:r>
        <w:rPr>
          <w:rFonts w:ascii="David" w:hAnsi="David"/>
          <w:rtl/>
        </w:rPr>
        <w:tab/>
        <w:t xml:space="preserve">ראה לעניין זה </w:t>
      </w:r>
      <w:r>
        <w:rPr>
          <w:rFonts w:ascii="David" w:hAnsi="David"/>
          <w:b/>
          <w:bCs/>
          <w:rtl/>
        </w:rPr>
        <w:t xml:space="preserve">ע"פ 7712/12 </w:t>
      </w:r>
      <w:r>
        <w:rPr>
          <w:rFonts w:ascii="David" w:hAnsi="David"/>
          <w:rtl/>
        </w:rPr>
        <w:t>פלוני נ' מדינת ישראל , 23.05.13.</w:t>
      </w:r>
    </w:p>
    <w:p w:rsidR="00154FCA" w:rsidRDefault="00154FCA" w:rsidP="00EE7869">
      <w:pPr>
        <w:spacing w:line="360" w:lineRule="auto"/>
        <w:ind w:left="720" w:hanging="720"/>
        <w:jc w:val="both"/>
        <w:rPr>
          <w:rFonts w:ascii="David" w:hAnsi="David"/>
          <w:rtl/>
        </w:rPr>
      </w:pPr>
    </w:p>
    <w:p w:rsidR="00EE7869" w:rsidRDefault="00C3669C" w:rsidP="00154FCA">
      <w:pPr>
        <w:spacing w:line="360" w:lineRule="auto"/>
        <w:ind w:left="720" w:hanging="720"/>
        <w:jc w:val="both"/>
        <w:rPr>
          <w:rFonts w:ascii="David" w:hAnsi="David"/>
          <w:rtl/>
        </w:rPr>
      </w:pPr>
      <w:r>
        <w:rPr>
          <w:rFonts w:ascii="David" w:hAnsi="David" w:hint="cs"/>
          <w:rtl/>
        </w:rPr>
        <w:t>19</w:t>
      </w:r>
      <w:r w:rsidR="00EE7869">
        <w:rPr>
          <w:rFonts w:ascii="David" w:hAnsi="David"/>
          <w:rtl/>
        </w:rPr>
        <w:t>.</w:t>
      </w:r>
      <w:r w:rsidR="00EE7869">
        <w:rPr>
          <w:rFonts w:ascii="David" w:hAnsi="David"/>
          <w:rtl/>
        </w:rPr>
        <w:tab/>
      </w:r>
      <w:r w:rsidR="00EE7869">
        <w:rPr>
          <w:rFonts w:ascii="David" w:hAnsi="David"/>
          <w:b/>
          <w:bCs/>
          <w:rtl/>
        </w:rPr>
        <w:t>בע"פ 8133/09</w:t>
      </w:r>
      <w:r w:rsidR="00EE7869">
        <w:rPr>
          <w:rFonts w:ascii="David" w:hAnsi="David"/>
          <w:rtl/>
        </w:rPr>
        <w:t xml:space="preserve"> שחר מזרחי נ' מדינת ישראל (21.7.2010) וביחס לתנאי הנחיצות ולתנאי הפרופורציה קבע בית המשפט העליון כי:</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David" w:hAnsi="David"/>
          <w:rtl/>
        </w:rPr>
        <w:tab/>
      </w:r>
      <w:r>
        <w:rPr>
          <w:rFonts w:ascii="David" w:hAnsi="David"/>
          <w:b/>
          <w:bCs/>
          <w:rtl/>
        </w:rPr>
        <w:t xml:space="preserve">"בחינתו של תנאי </w:t>
      </w:r>
      <w:r>
        <w:rPr>
          <w:rFonts w:ascii="David" w:hAnsi="David"/>
          <w:b/>
          <w:bCs/>
          <w:u w:val="single"/>
          <w:rtl/>
        </w:rPr>
        <w:t xml:space="preserve">הנחיצות </w:t>
      </w:r>
      <w:r>
        <w:rPr>
          <w:rFonts w:ascii="David" w:hAnsi="David"/>
          <w:b/>
          <w:bCs/>
          <w:rtl/>
        </w:rPr>
        <w:t xml:space="preserve">היא הן איכותית והן כמותית. בפן האיכותי השאלה הנשאלת  היא האם עמדו בפני הטוען להגנה אלטרנטיבות אחרות לפעולה, ובפן הכמותי השאלה העומדת על הפרק היא  האם הטוען להגנה יכול היה לנקוט כוח מועט יותר לשם הדיפת הסכנה... </w:t>
      </w:r>
    </w:p>
    <w:p w:rsidR="00EE7869" w:rsidRDefault="00EE7869" w:rsidP="00EE7869">
      <w:pPr>
        <w:spacing w:line="360" w:lineRule="auto"/>
        <w:ind w:left="720" w:hanging="720"/>
        <w:jc w:val="both"/>
        <w:rPr>
          <w:rFonts w:ascii="David" w:hAnsi="David"/>
          <w:b/>
          <w:bCs/>
          <w:rtl/>
        </w:rPr>
      </w:pPr>
      <w:r>
        <w:rPr>
          <w:rFonts w:ascii="David" w:hAnsi="David"/>
          <w:b/>
          <w:bCs/>
          <w:rtl/>
        </w:rPr>
        <w:tab/>
        <w:t xml:space="preserve">התנאי השישי והאחרון לתחולת ההגנה הוא תנאי </w:t>
      </w:r>
      <w:r>
        <w:rPr>
          <w:rFonts w:ascii="David" w:hAnsi="David"/>
          <w:b/>
          <w:bCs/>
          <w:u w:val="single"/>
          <w:rtl/>
        </w:rPr>
        <w:t>הפרופורציה</w:t>
      </w:r>
      <w:r>
        <w:rPr>
          <w:rFonts w:ascii="David" w:hAnsi="David"/>
          <w:b/>
          <w:bCs/>
          <w:rtl/>
        </w:rPr>
        <w:t xml:space="preserve">. בהתאם לתנאי זה, שמעוגן אף הוא בדרישת הסבירות הקבועה בסעיף 34 טז לחוק העונשין, נדרש יחס ראוי בין הנזק הצפוי מפעולת המגן לבין הנזק הצפוי מן התקיפה. היינו, ייתכן מצב שבו אף אם פעולה מסוימת היא הפעולה האפשרית היחידה להדיפת התקיפה היא לא תהיה מוצדקת, כיוון שלא מתקיים יחס ראוי בין הנזק הצפוי מפעולת המגן לבין הנזק הצפוי מן התקיפה". </w:t>
      </w:r>
    </w:p>
    <w:p w:rsidR="00EE7869" w:rsidRDefault="00EE7869" w:rsidP="00EE7869">
      <w:pPr>
        <w:spacing w:line="360" w:lineRule="auto"/>
        <w:ind w:left="720" w:hanging="720"/>
        <w:jc w:val="both"/>
        <w:rPr>
          <w:rFonts w:ascii="David" w:hAnsi="David"/>
          <w:b/>
          <w:bCs/>
          <w:rtl/>
        </w:rPr>
      </w:pPr>
    </w:p>
    <w:p w:rsidR="00EE7869" w:rsidRDefault="00C3669C" w:rsidP="009D6D62">
      <w:pPr>
        <w:spacing w:line="360" w:lineRule="auto"/>
        <w:ind w:left="720" w:hanging="720"/>
        <w:jc w:val="both"/>
        <w:rPr>
          <w:rFonts w:ascii="David" w:hAnsi="David"/>
          <w:rtl/>
        </w:rPr>
      </w:pPr>
      <w:r>
        <w:rPr>
          <w:rFonts w:ascii="David" w:hAnsi="David" w:hint="cs"/>
          <w:rtl/>
        </w:rPr>
        <w:t>20</w:t>
      </w:r>
      <w:r w:rsidR="00EE7869">
        <w:rPr>
          <w:rFonts w:ascii="David" w:hAnsi="David"/>
          <w:rtl/>
        </w:rPr>
        <w:t>.</w:t>
      </w:r>
      <w:r w:rsidR="00EE7869">
        <w:rPr>
          <w:rFonts w:ascii="David" w:hAnsi="David"/>
          <w:rtl/>
        </w:rPr>
        <w:tab/>
        <w:t xml:space="preserve">ב"כ הנאשם טען בסיכומיו טענה חלופית לפיה עומדת לנאשם טענה להגנה עצמית מדומה תוך שהוא נשען על הוראת סעיף 34יח(א) לחוק העונשין, </w:t>
      </w:r>
      <w:r w:rsidR="00EE7869">
        <w:rPr>
          <w:rFonts w:ascii="David" w:hAnsi="David"/>
          <w:b/>
          <w:bCs/>
          <w:rtl/>
        </w:rPr>
        <w:t>'טעות במצב הדברים',</w:t>
      </w:r>
      <w:r w:rsidR="00EE7869">
        <w:rPr>
          <w:rFonts w:ascii="David" w:hAnsi="David"/>
          <w:rtl/>
        </w:rPr>
        <w:t xml:space="preserve"> לפיה: </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EE7869" w:rsidP="00EE7869">
      <w:pPr>
        <w:spacing w:line="360" w:lineRule="auto"/>
        <w:ind w:left="720" w:hanging="720"/>
        <w:jc w:val="both"/>
        <w:rPr>
          <w:rFonts w:ascii="David" w:hAnsi="David"/>
          <w:b/>
          <w:bCs/>
          <w:rtl/>
        </w:rPr>
      </w:pPr>
      <w:r>
        <w:rPr>
          <w:rFonts w:ascii="David" w:hAnsi="David"/>
          <w:rtl/>
        </w:rPr>
        <w:tab/>
      </w:r>
      <w:r>
        <w:rPr>
          <w:rFonts w:ascii="David" w:hAnsi="David"/>
          <w:b/>
          <w:bCs/>
          <w:rtl/>
        </w:rPr>
        <w:t xml:space="preserve">"העושה מעשה בדמותו מצב דברים שאינו קיים, לא יישא באחריות פלילית אלא במידה שהיה נושא בה אילו היה המצב לאמיתו כפי שדימה אותו". </w:t>
      </w:r>
    </w:p>
    <w:p w:rsidR="00EE7869" w:rsidRDefault="00EE7869" w:rsidP="00EE7869">
      <w:pPr>
        <w:spacing w:line="360" w:lineRule="auto"/>
        <w:ind w:left="720" w:hanging="720"/>
        <w:jc w:val="both"/>
        <w:rPr>
          <w:rFonts w:ascii="David" w:hAnsi="David"/>
          <w:b/>
          <w:bCs/>
          <w:rtl/>
        </w:rPr>
      </w:pPr>
    </w:p>
    <w:p w:rsidR="00EE7869" w:rsidRDefault="00EE7869" w:rsidP="00EE7869">
      <w:pPr>
        <w:spacing w:line="360" w:lineRule="auto"/>
        <w:ind w:left="720" w:hanging="720"/>
        <w:jc w:val="both"/>
        <w:rPr>
          <w:rFonts w:ascii="David" w:hAnsi="David"/>
          <w:rtl/>
        </w:rPr>
      </w:pPr>
      <w:r>
        <w:rPr>
          <w:rFonts w:ascii="David" w:hAnsi="David"/>
          <w:rtl/>
        </w:rPr>
        <w:tab/>
      </w:r>
      <w:r>
        <w:rPr>
          <w:rFonts w:ascii="David" w:hAnsi="David"/>
          <w:b/>
          <w:bCs/>
          <w:rtl/>
        </w:rPr>
        <w:t xml:space="preserve">בע"פ 8133/09 </w:t>
      </w:r>
      <w:r>
        <w:rPr>
          <w:rFonts w:ascii="David" w:hAnsi="David"/>
          <w:rtl/>
        </w:rPr>
        <w:t>שחר מזרחי נ' מדינת ישראל הבהיר בית המשפט העליון כי:</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EE7869" w:rsidP="00EE7869">
      <w:pPr>
        <w:spacing w:line="360" w:lineRule="auto"/>
        <w:ind w:left="720" w:hanging="720"/>
        <w:jc w:val="both"/>
        <w:rPr>
          <w:rFonts w:ascii="David" w:hAnsi="David"/>
          <w:b/>
          <w:bCs/>
          <w:rtl/>
        </w:rPr>
      </w:pPr>
      <w:r>
        <w:rPr>
          <w:rFonts w:ascii="David" w:hAnsi="David"/>
          <w:b/>
          <w:bCs/>
          <w:rtl/>
        </w:rPr>
        <w:tab/>
        <w:t xml:space="preserve">"בהגנה העצמית המדומה, מחשבתו המוטעית של העושה המדמה לעצמו כי התקיימו יסודותיה העובדתיים של ההגנה, מהווה תחליף להתקיימותן של אלה בפועל... וקיומה שולל אחריות פלילית..., ודי בכך כי הנאשם טעה טעות כנה באשר להתקיימות התנאים לתחולת ההגנה. עם זאת,  ברור כי סבירותה של הטעות תשמשנו כאבן בוחן להערכת כנותה". </w:t>
      </w:r>
    </w:p>
    <w:p w:rsidR="00EE7869" w:rsidRDefault="00EE7869" w:rsidP="00EE7869">
      <w:pPr>
        <w:spacing w:line="360" w:lineRule="auto"/>
        <w:ind w:left="720" w:hanging="720"/>
        <w:jc w:val="both"/>
        <w:rPr>
          <w:rFonts w:ascii="David" w:hAnsi="David"/>
          <w:b/>
          <w:bCs/>
          <w:rtl/>
        </w:rPr>
      </w:pPr>
    </w:p>
    <w:p w:rsidR="00EE7869" w:rsidRDefault="00C3669C" w:rsidP="00EE7869">
      <w:pPr>
        <w:spacing w:line="360" w:lineRule="auto"/>
        <w:ind w:left="720" w:hanging="720"/>
        <w:jc w:val="both"/>
        <w:rPr>
          <w:rFonts w:ascii="David" w:hAnsi="David"/>
          <w:rtl/>
        </w:rPr>
      </w:pPr>
      <w:r>
        <w:rPr>
          <w:rFonts w:ascii="David" w:hAnsi="David" w:hint="cs"/>
          <w:rtl/>
        </w:rPr>
        <w:t>21</w:t>
      </w:r>
      <w:r w:rsidR="00EE7869">
        <w:rPr>
          <w:rFonts w:ascii="David" w:hAnsi="David"/>
          <w:rtl/>
        </w:rPr>
        <w:t>.</w:t>
      </w:r>
      <w:r w:rsidR="00EE7869">
        <w:rPr>
          <w:rFonts w:ascii="David" w:hAnsi="David"/>
          <w:rtl/>
        </w:rPr>
        <w:tab/>
        <w:t xml:space="preserve">לאחר שעיינתי באשר הוצג בפניי ושמעתי את עדי התביעה ואת הנאשם  מצאתי כי מעשיו של הנאשם לא עומדים אחר התנאים המצטברים להתקיימותה של הגנה עצמית או הגנה עצמית מדומה. </w:t>
      </w:r>
    </w:p>
    <w:p w:rsidR="00154FCA" w:rsidRDefault="00154FCA" w:rsidP="00EE7869">
      <w:pPr>
        <w:spacing w:line="360" w:lineRule="auto"/>
        <w:ind w:left="720"/>
        <w:jc w:val="both"/>
        <w:rPr>
          <w:rFonts w:ascii="David" w:hAnsi="David"/>
          <w:rtl/>
        </w:rPr>
      </w:pPr>
    </w:p>
    <w:p w:rsidR="00EE7869" w:rsidRDefault="00EE7869" w:rsidP="00EE7869">
      <w:pPr>
        <w:spacing w:line="360" w:lineRule="auto"/>
        <w:ind w:left="720"/>
        <w:jc w:val="both"/>
        <w:rPr>
          <w:rFonts w:ascii="David" w:hAnsi="David"/>
          <w:rtl/>
        </w:rPr>
      </w:pPr>
      <w:r>
        <w:rPr>
          <w:rFonts w:ascii="David" w:hAnsi="David"/>
          <w:rtl/>
        </w:rPr>
        <w:t xml:space="preserve">טרם אפרט בנושא, דומה כי הנאשם הגיע למסקנה זו בעצמו במהלך שמיעת הראיות כאשר נשאל על ידי בית המשפט: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rtl/>
        </w:rPr>
      </w:pPr>
      <w:r>
        <w:rPr>
          <w:rFonts w:asciiTheme="minorBidi" w:hAnsiTheme="minorBidi"/>
          <w:rtl/>
        </w:rPr>
        <w:tab/>
      </w:r>
      <w:r>
        <w:rPr>
          <w:rFonts w:ascii="David" w:hAnsi="David"/>
          <w:b/>
          <w:bCs/>
          <w:rtl/>
        </w:rPr>
        <w:t>"אם אלכסנדר היה בא ונותן לך את המכות, כמו שהוא נתן לך, האם היום היית עושה משהו שונה"?</w:t>
      </w:r>
      <w:r>
        <w:rPr>
          <w:rFonts w:ascii="David" w:hAnsi="David"/>
          <w:b/>
          <w:bCs/>
        </w:rPr>
        <w:t xml:space="preserve">   </w:t>
      </w:r>
      <w:r>
        <w:rPr>
          <w:rFonts w:ascii="David" w:hAnsi="David"/>
          <w:b/>
          <w:bCs/>
          <w:rtl/>
        </w:rPr>
        <w:t xml:space="preserve"> </w:t>
      </w:r>
    </w:p>
    <w:p w:rsidR="00EE7869" w:rsidRDefault="00EE7869" w:rsidP="00EE7869">
      <w:pPr>
        <w:spacing w:line="360" w:lineRule="auto"/>
        <w:ind w:left="720" w:hanging="720"/>
        <w:jc w:val="both"/>
        <w:rPr>
          <w:rFonts w:ascii="David" w:hAnsi="David"/>
          <w:b/>
          <w:bCs/>
          <w:rtl/>
        </w:rPr>
      </w:pPr>
    </w:p>
    <w:p w:rsidR="00EE7869" w:rsidRDefault="00EE7869" w:rsidP="00EE7869">
      <w:pPr>
        <w:spacing w:line="360" w:lineRule="auto"/>
        <w:ind w:left="720" w:hanging="720"/>
        <w:jc w:val="both"/>
        <w:rPr>
          <w:rFonts w:ascii="David" w:hAnsi="David"/>
          <w:rtl/>
        </w:rPr>
      </w:pPr>
      <w:r>
        <w:rPr>
          <w:rFonts w:ascii="David" w:hAnsi="David"/>
          <w:rtl/>
        </w:rPr>
        <w:tab/>
        <w:t xml:space="preserve">והנאשם השיב: </w:t>
      </w:r>
    </w:p>
    <w:p w:rsidR="00EE7869" w:rsidRDefault="00EE7869" w:rsidP="00EE7869">
      <w:pPr>
        <w:spacing w:line="360" w:lineRule="auto"/>
        <w:ind w:left="720" w:hanging="720"/>
        <w:jc w:val="both"/>
        <w:rPr>
          <w:rFonts w:ascii="David" w:hAnsi="David"/>
          <w:b/>
          <w:bCs/>
          <w:rtl/>
        </w:rPr>
      </w:pPr>
    </w:p>
    <w:p w:rsidR="00EE7869" w:rsidRDefault="00EE7869" w:rsidP="00154FCA">
      <w:pPr>
        <w:spacing w:line="360" w:lineRule="auto"/>
        <w:ind w:left="720"/>
        <w:jc w:val="both"/>
        <w:rPr>
          <w:rFonts w:ascii="David" w:hAnsi="David"/>
          <w:rtl/>
        </w:rPr>
      </w:pPr>
      <w:r>
        <w:rPr>
          <w:rFonts w:ascii="David" w:hAnsi="David"/>
          <w:b/>
          <w:bCs/>
          <w:rtl/>
        </w:rPr>
        <w:t>"כנראה שאני הייתי בורח, אני עושה עכשיו הכל כדי שאני בעצם אקבל שליטה על עצמי, כדי שבכלל לא יהיו מקרים כאלה יותר" (</w:t>
      </w:r>
      <w:r>
        <w:rPr>
          <w:rFonts w:ascii="David" w:hAnsi="David"/>
          <w:rtl/>
        </w:rPr>
        <w:t>עמוד 362 שורות 25-28).</w:t>
      </w:r>
    </w:p>
    <w:p w:rsidR="00EE7869" w:rsidRDefault="00EE7869" w:rsidP="00EE7869">
      <w:pPr>
        <w:spacing w:line="360" w:lineRule="auto"/>
        <w:ind w:left="720"/>
        <w:jc w:val="both"/>
        <w:rPr>
          <w:rFonts w:ascii="Calibri Light" w:hAnsi="Calibri Light" w:cs="Calibri Light"/>
          <w:rtl/>
        </w:rPr>
      </w:pPr>
    </w:p>
    <w:p w:rsidR="00EE7869" w:rsidRDefault="00C3669C" w:rsidP="00154FCA">
      <w:pPr>
        <w:spacing w:line="360" w:lineRule="auto"/>
        <w:ind w:left="720" w:hanging="720"/>
        <w:jc w:val="both"/>
        <w:rPr>
          <w:rFonts w:ascii="David" w:hAnsi="David"/>
          <w:rtl/>
        </w:rPr>
      </w:pPr>
      <w:r>
        <w:rPr>
          <w:rFonts w:ascii="David" w:hAnsi="David" w:hint="cs"/>
          <w:rtl/>
        </w:rPr>
        <w:t>22</w:t>
      </w:r>
      <w:r w:rsidR="00EE7869">
        <w:rPr>
          <w:rFonts w:ascii="David" w:hAnsi="David"/>
          <w:rtl/>
        </w:rPr>
        <w:t>.</w:t>
      </w:r>
      <w:r w:rsidR="00EE7869">
        <w:rPr>
          <w:rFonts w:ascii="David" w:hAnsi="David"/>
          <w:rtl/>
        </w:rPr>
        <w:tab/>
        <w:t>כפי שפורט לעיל, גרסתו של הנאשם באשר לאופן התרחשות האירוע אינה תואמת באופן מהותי את אשר ארע בפועל, ומצאתי שלא ליתן אמון בעדותו בביהמ"ש ובכלל זה לדבריו כי חש סכנה לחייו ולגופו ופעל כביכול מתוך הגנה עצמית.</w:t>
      </w:r>
    </w:p>
    <w:p w:rsidR="00EE7869" w:rsidRDefault="00EE7869" w:rsidP="00CF4F64">
      <w:pPr>
        <w:spacing w:line="360" w:lineRule="auto"/>
        <w:ind w:left="720" w:hanging="720"/>
        <w:jc w:val="both"/>
        <w:rPr>
          <w:rFonts w:ascii="David" w:hAnsi="David"/>
          <w:rtl/>
        </w:rPr>
      </w:pPr>
      <w:r>
        <w:rPr>
          <w:rFonts w:ascii="David" w:hAnsi="David"/>
          <w:rtl/>
        </w:rPr>
        <w:tab/>
        <w:t xml:space="preserve">זאת ועוד. במהלך חקירתו בביהמ"ש ניכר היה כי הנאשם בוחר לזכור היטב את המקטע הראשון במהלכו המתלונן הכה אותו, אך אינו זוכר, באופן תמוה ובלתי מוסבר, את התגלגלות האירועים  לאחר מכן, ובכלל זה את הזמן שבין המקטעים ואת המקטע השני. ניכר כי הנאשם בחר בעדותו בביהמ"ש, כמו גם במהלך חקירותיו במשטרה, שלא לזכור פרטים שיש בהם כדי לסבכו בפלילים. </w:t>
      </w:r>
    </w:p>
    <w:p w:rsidR="00EE7869" w:rsidRDefault="00EE7869" w:rsidP="00EE7869">
      <w:pPr>
        <w:spacing w:line="360" w:lineRule="auto"/>
        <w:ind w:left="720" w:hanging="720"/>
        <w:jc w:val="both"/>
        <w:rPr>
          <w:rFonts w:ascii="David" w:hAnsi="David"/>
          <w:rtl/>
        </w:rPr>
      </w:pPr>
    </w:p>
    <w:p w:rsidR="00EE7869" w:rsidRDefault="00EE7869" w:rsidP="009D6D62">
      <w:pPr>
        <w:spacing w:line="360" w:lineRule="auto"/>
        <w:ind w:left="720" w:hanging="720"/>
        <w:jc w:val="both"/>
        <w:rPr>
          <w:rFonts w:ascii="David" w:hAnsi="David"/>
          <w:b/>
          <w:bCs/>
          <w:rtl/>
        </w:rPr>
      </w:pPr>
      <w:r>
        <w:rPr>
          <w:rFonts w:ascii="David" w:hAnsi="David"/>
          <w:rtl/>
        </w:rPr>
        <w:tab/>
        <w:t xml:space="preserve">הנאשם זכר היטב ולפרטי פרטים כי </w:t>
      </w:r>
      <w:r>
        <w:rPr>
          <w:rFonts w:ascii="David" w:hAnsi="David"/>
          <w:b/>
          <w:bCs/>
          <w:rtl/>
        </w:rPr>
        <w:t xml:space="preserve">" כשהוא קם ועקף את השולחן , הוא ניסה לתקוף אותי פעם אחת והתחמקתי, בפעם השנייה התחמקתי ובפעם השלישית הוא פגע לי בפנים" </w:t>
      </w:r>
      <w:r>
        <w:rPr>
          <w:rFonts w:ascii="David" w:hAnsi="David"/>
          <w:rtl/>
        </w:rPr>
        <w:t>( עמ' 327 ש' 13-14)</w:t>
      </w:r>
      <w:r>
        <w:rPr>
          <w:rFonts w:ascii="David" w:hAnsi="David"/>
          <w:b/>
          <w:bCs/>
          <w:rtl/>
        </w:rPr>
        <w:t xml:space="preserve">. </w:t>
      </w:r>
      <w:r>
        <w:rPr>
          <w:rFonts w:ascii="David" w:hAnsi="David"/>
          <w:rtl/>
        </w:rPr>
        <w:t>כך גם הנאשם זכר היטב  כי</w:t>
      </w:r>
      <w:r>
        <w:rPr>
          <w:rFonts w:ascii="David" w:hAnsi="David"/>
          <w:b/>
          <w:bCs/>
          <w:rtl/>
        </w:rPr>
        <w:t xml:space="preserve"> </w:t>
      </w:r>
      <w:r>
        <w:rPr>
          <w:rFonts w:ascii="David" w:hAnsi="David"/>
          <w:rtl/>
        </w:rPr>
        <w:t xml:space="preserve">לאחר שנפל ארצה המתלונן המשיך להכותו באזור הראש </w:t>
      </w:r>
      <w:r w:rsidR="00CF4F64">
        <w:rPr>
          <w:rFonts w:ascii="David" w:hAnsi="David"/>
          <w:b/>
          <w:bCs/>
          <w:rtl/>
        </w:rPr>
        <w:t xml:space="preserve"> </w:t>
      </w:r>
      <w:r>
        <w:rPr>
          <w:rFonts w:ascii="David" w:hAnsi="David"/>
          <w:b/>
          <w:bCs/>
          <w:rtl/>
        </w:rPr>
        <w:t xml:space="preserve">"... בערך 5-6 מכות " </w:t>
      </w:r>
      <w:r w:rsidR="00CF4F64">
        <w:rPr>
          <w:rFonts w:ascii="David" w:hAnsi="David"/>
          <w:rtl/>
        </w:rPr>
        <w:t>(</w:t>
      </w:r>
      <w:r>
        <w:rPr>
          <w:rFonts w:ascii="David" w:hAnsi="David"/>
          <w:rtl/>
        </w:rPr>
        <w:t>עמ' 315 ש' 11)</w:t>
      </w:r>
      <w:r>
        <w:rPr>
          <w:rFonts w:ascii="David" w:hAnsi="David"/>
          <w:b/>
          <w:bCs/>
          <w:rtl/>
        </w:rPr>
        <w:t xml:space="preserve"> </w:t>
      </w:r>
      <w:r>
        <w:rPr>
          <w:rFonts w:ascii="David" w:hAnsi="David"/>
          <w:rtl/>
        </w:rPr>
        <w:t xml:space="preserve">וכי </w:t>
      </w:r>
      <w:r>
        <w:rPr>
          <w:rFonts w:ascii="David" w:hAnsi="David"/>
          <w:b/>
          <w:bCs/>
          <w:rtl/>
        </w:rPr>
        <w:t>"... אני שכבתי ואז הוא הרביץ לי, אני נסיתי לדחוף אותו, ואני זוכר את זה במעורפל.</w:t>
      </w:r>
      <w:r w:rsidR="009D6D62">
        <w:rPr>
          <w:rFonts w:ascii="David" w:hAnsi="David" w:hint="cs"/>
          <w:b/>
          <w:bCs/>
          <w:rtl/>
        </w:rPr>
        <w:t xml:space="preserve"> </w:t>
      </w:r>
      <w:r>
        <w:rPr>
          <w:rFonts w:ascii="David" w:hAnsi="David"/>
          <w:b/>
          <w:bCs/>
          <w:rtl/>
        </w:rPr>
        <w:t xml:space="preserve">דחפתי אותו וברחתי" </w:t>
      </w:r>
      <w:r>
        <w:rPr>
          <w:rFonts w:ascii="David" w:hAnsi="David"/>
          <w:rtl/>
        </w:rPr>
        <w:t>(עמ' 330 ש' 25-26)</w:t>
      </w:r>
      <w:r>
        <w:rPr>
          <w:rFonts w:ascii="David" w:hAnsi="David"/>
          <w:b/>
          <w:bCs/>
          <w:rtl/>
        </w:rPr>
        <w:t>.</w:t>
      </w:r>
    </w:p>
    <w:p w:rsidR="00EE7869" w:rsidRDefault="00EE7869" w:rsidP="00CF4F64">
      <w:pPr>
        <w:spacing w:line="360" w:lineRule="auto"/>
        <w:ind w:left="720" w:hanging="720"/>
        <w:jc w:val="both"/>
        <w:rPr>
          <w:rFonts w:ascii="David" w:hAnsi="David"/>
          <w:b/>
          <w:bCs/>
          <w:rtl/>
        </w:rPr>
      </w:pPr>
      <w:r>
        <w:rPr>
          <w:rFonts w:ascii="David" w:hAnsi="David"/>
          <w:b/>
          <w:bCs/>
          <w:rtl/>
        </w:rPr>
        <w:tab/>
      </w:r>
      <w:r>
        <w:rPr>
          <w:rFonts w:ascii="David" w:hAnsi="David"/>
          <w:rtl/>
        </w:rPr>
        <w:t>מאידך, ולשאלת ביהמ"ש איך יתכן שאינו זוכר עם מה דקר את המ</w:t>
      </w:r>
      <w:r w:rsidR="00CF4F64">
        <w:rPr>
          <w:rFonts w:ascii="David" w:hAnsi="David"/>
          <w:rtl/>
        </w:rPr>
        <w:t>תלונן</w:t>
      </w:r>
      <w:r w:rsidR="00CF4F64">
        <w:rPr>
          <w:rFonts w:ascii="David" w:hAnsi="David" w:hint="cs"/>
          <w:rtl/>
        </w:rPr>
        <w:t>,</w:t>
      </w:r>
      <w:r w:rsidR="00CF4F64">
        <w:rPr>
          <w:rFonts w:ascii="David" w:hAnsi="David"/>
          <w:rtl/>
        </w:rPr>
        <w:t xml:space="preserve"> השיב הנאשם </w:t>
      </w:r>
      <w:r>
        <w:rPr>
          <w:rFonts w:ascii="David" w:hAnsi="David"/>
          <w:b/>
          <w:bCs/>
          <w:rtl/>
        </w:rPr>
        <w:t xml:space="preserve">"אני אומר עוד פעם. התנתקתי ויכול להיות, כל מה שקרה היה באלפית השנייה, ואני זוכר את זה בפרקים. אני חזרתי לעצמי כשאני הייתי כבר אצל איגור" </w:t>
      </w:r>
      <w:r w:rsidR="00CF4F64">
        <w:rPr>
          <w:rFonts w:ascii="David" w:hAnsi="David"/>
          <w:rtl/>
        </w:rPr>
        <w:t>(עמ' 340 ש' 17-18</w:t>
      </w:r>
      <w:r>
        <w:rPr>
          <w:rFonts w:ascii="David" w:hAnsi="David"/>
          <w:rtl/>
        </w:rPr>
        <w:t>)</w:t>
      </w:r>
      <w:r>
        <w:rPr>
          <w:rFonts w:ascii="David" w:hAnsi="David"/>
          <w:b/>
          <w:bCs/>
          <w:rtl/>
        </w:rPr>
        <w:t xml:space="preserve">.  </w:t>
      </w:r>
    </w:p>
    <w:p w:rsidR="00EE7869" w:rsidRDefault="00EE7869" w:rsidP="00CF4F64">
      <w:pPr>
        <w:spacing w:line="360" w:lineRule="auto"/>
        <w:ind w:left="720"/>
        <w:jc w:val="both"/>
        <w:rPr>
          <w:rFonts w:ascii="David" w:hAnsi="David"/>
          <w:rtl/>
        </w:rPr>
      </w:pPr>
      <w:r>
        <w:rPr>
          <w:rFonts w:ascii="David" w:hAnsi="David"/>
          <w:rtl/>
        </w:rPr>
        <w:t xml:space="preserve">כשעומת הנאשם עם עדותו של יבגני פיאנזין באשר לזמן שבין המקטעים שבמהלכו המתלונן חזר לשולחן והנאשם אמר לו מילים לא טובות, השיב </w:t>
      </w:r>
      <w:r>
        <w:rPr>
          <w:rFonts w:ascii="David" w:hAnsi="David"/>
          <w:b/>
          <w:bCs/>
          <w:rtl/>
        </w:rPr>
        <w:t xml:space="preserve">"אין לי מה להוסיף. אני לא זוכר..." </w:t>
      </w:r>
      <w:r w:rsidR="00CF4F64">
        <w:rPr>
          <w:rFonts w:ascii="David" w:hAnsi="David"/>
          <w:rtl/>
        </w:rPr>
        <w:t xml:space="preserve">   (</w:t>
      </w:r>
      <w:r>
        <w:rPr>
          <w:rFonts w:ascii="David" w:hAnsi="David"/>
          <w:rtl/>
        </w:rPr>
        <w:t xml:space="preserve">עמ' 353 ש' 12-14).  </w:t>
      </w:r>
    </w:p>
    <w:p w:rsidR="00EE7869" w:rsidRDefault="00EE7869" w:rsidP="00EE7869">
      <w:pPr>
        <w:spacing w:line="360" w:lineRule="auto"/>
        <w:ind w:left="720" w:hanging="720"/>
        <w:jc w:val="both"/>
        <w:rPr>
          <w:rFonts w:ascii="David" w:hAnsi="David"/>
          <w:rtl/>
        </w:rPr>
      </w:pPr>
    </w:p>
    <w:p w:rsidR="00EE7869" w:rsidRDefault="00EE7869" w:rsidP="00CF4F64">
      <w:pPr>
        <w:spacing w:line="360" w:lineRule="auto"/>
        <w:ind w:left="720" w:hanging="720"/>
        <w:jc w:val="both"/>
        <w:rPr>
          <w:rFonts w:ascii="David" w:hAnsi="David"/>
          <w:rtl/>
        </w:rPr>
      </w:pPr>
      <w:r>
        <w:rPr>
          <w:rFonts w:ascii="David" w:hAnsi="David"/>
          <w:rtl/>
        </w:rPr>
        <w:tab/>
        <w:t xml:space="preserve">זכרונו הסלקטיבי של הנאשם וטענתו כי בשל המכות שחטף מהמתלונן </w:t>
      </w:r>
      <w:r>
        <w:rPr>
          <w:rFonts w:ascii="David" w:hAnsi="David"/>
          <w:b/>
          <w:bCs/>
          <w:rtl/>
        </w:rPr>
        <w:t>"כנראה</w:t>
      </w:r>
      <w:r>
        <w:rPr>
          <w:rFonts w:ascii="David" w:hAnsi="David"/>
          <w:rtl/>
        </w:rPr>
        <w:t xml:space="preserve"> </w:t>
      </w:r>
      <w:r w:rsidR="00CF4F64">
        <w:rPr>
          <w:rFonts w:ascii="David" w:hAnsi="David"/>
          <w:b/>
          <w:bCs/>
          <w:rtl/>
        </w:rPr>
        <w:t>התנתקתי..</w:t>
      </w:r>
      <w:r w:rsidR="00CF4F64">
        <w:rPr>
          <w:rFonts w:ascii="David" w:hAnsi="David" w:hint="cs"/>
          <w:b/>
          <w:bCs/>
          <w:rtl/>
        </w:rPr>
        <w:t xml:space="preserve">" </w:t>
      </w:r>
      <w:r>
        <w:rPr>
          <w:rFonts w:ascii="David" w:hAnsi="David"/>
          <w:rtl/>
        </w:rPr>
        <w:t xml:space="preserve">(עמ' 320 ש' 33) כלשונו, לא גובו בכל מסמך רפואי המוכיח כי אכן  חווה במהלך האירוע  או כתוצאה ממנו אובדן זיכרון או בדומה לכך. יתרה מזו , ולמרות שנלקח על ידי המשטרה לבית החולים, סירב הנאשם לקבל טיפול רפואי. כשנשאל מדוע סירב לקבל טיפול רפואי, בחר להתחמק שוב ממתן תשובה והשיב </w:t>
      </w:r>
      <w:r w:rsidR="00CF4F64">
        <w:rPr>
          <w:rFonts w:ascii="David" w:hAnsi="David"/>
          <w:b/>
          <w:bCs/>
          <w:rtl/>
        </w:rPr>
        <w:t>"</w:t>
      </w:r>
      <w:r>
        <w:rPr>
          <w:rFonts w:ascii="David" w:hAnsi="David"/>
          <w:b/>
          <w:bCs/>
          <w:rtl/>
        </w:rPr>
        <w:t>סירבתי אבל אני לא זוכר למה"</w:t>
      </w:r>
      <w:r>
        <w:rPr>
          <w:rFonts w:ascii="David" w:hAnsi="David"/>
          <w:rtl/>
        </w:rPr>
        <w:t xml:space="preserve"> (</w:t>
      </w:r>
      <w:r w:rsidR="00CF4F64">
        <w:rPr>
          <w:rFonts w:ascii="David" w:hAnsi="David"/>
          <w:rtl/>
        </w:rPr>
        <w:t>עמ' 360 ש' 7</w:t>
      </w:r>
      <w:r w:rsidR="00CF4F64">
        <w:rPr>
          <w:rFonts w:ascii="David" w:hAnsi="David" w:hint="cs"/>
          <w:rtl/>
        </w:rPr>
        <w:t>)</w:t>
      </w:r>
      <w:r>
        <w:rPr>
          <w:rFonts w:ascii="David" w:hAnsi="David"/>
          <w:rtl/>
        </w:rPr>
        <w:t xml:space="preserve">. </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C3669C" w:rsidP="00CF4F64">
      <w:pPr>
        <w:spacing w:line="360" w:lineRule="auto"/>
        <w:ind w:left="720" w:hanging="720"/>
        <w:jc w:val="both"/>
        <w:rPr>
          <w:rFonts w:ascii="David" w:hAnsi="David"/>
          <w:rtl/>
        </w:rPr>
      </w:pPr>
      <w:r>
        <w:rPr>
          <w:rFonts w:ascii="David" w:hAnsi="David" w:hint="cs"/>
          <w:rtl/>
        </w:rPr>
        <w:t>23</w:t>
      </w:r>
      <w:r w:rsidR="00EE7869">
        <w:rPr>
          <w:rFonts w:ascii="David" w:hAnsi="David"/>
          <w:rtl/>
        </w:rPr>
        <w:t>.</w:t>
      </w:r>
      <w:r w:rsidR="00EE7869">
        <w:rPr>
          <w:rFonts w:ascii="David" w:hAnsi="David"/>
          <w:rtl/>
        </w:rPr>
        <w:tab/>
        <w:t>גם התנהגותו של הנאשם במהלך האירוע  ובסמוך לפני אקט הדקירה מוכיחה כי לא חש סכנה לחיי</w:t>
      </w:r>
      <w:r w:rsidR="00CF4F64">
        <w:rPr>
          <w:rFonts w:ascii="David" w:hAnsi="David"/>
          <w:rtl/>
        </w:rPr>
        <w:t>ו כטענתו. הנאשם בחר שלא לברוח (</w:t>
      </w:r>
      <w:r w:rsidR="00EE7869">
        <w:rPr>
          <w:rFonts w:ascii="David" w:hAnsi="David"/>
          <w:rtl/>
        </w:rPr>
        <w:t xml:space="preserve">או לכל הפחות לנסות ולברוח) בזמן שבין המקטעים, נעמד על רגליו לאחר שהמקטע הראשון הסתיים ופנה בהקנטה אל המתלונן. התנהגות זו של הנאשם אינה תואמת התנהגות של אדם החש סכנה לחייו. </w:t>
      </w:r>
    </w:p>
    <w:p w:rsidR="00EE7869" w:rsidRDefault="00EE7869" w:rsidP="009D6D62">
      <w:pPr>
        <w:spacing w:line="360" w:lineRule="auto"/>
        <w:ind w:left="720" w:hanging="720"/>
        <w:jc w:val="both"/>
        <w:rPr>
          <w:rFonts w:ascii="David" w:hAnsi="David"/>
          <w:rtl/>
        </w:rPr>
      </w:pPr>
      <w:r>
        <w:rPr>
          <w:rFonts w:ascii="David" w:hAnsi="David"/>
          <w:rtl/>
        </w:rPr>
        <w:tab/>
        <w:t xml:space="preserve">זאת ועוד, ככל שהנאשם </w:t>
      </w:r>
      <w:r w:rsidR="00CE16EA">
        <w:rPr>
          <w:rFonts w:ascii="David" w:hAnsi="David" w:hint="cs"/>
          <w:rtl/>
        </w:rPr>
        <w:t xml:space="preserve">פעל </w:t>
      </w:r>
      <w:r>
        <w:rPr>
          <w:rFonts w:ascii="David" w:hAnsi="David"/>
          <w:rtl/>
        </w:rPr>
        <w:t>מתוך תחושת סכנה לחייו כטענתו, מ</w:t>
      </w:r>
      <w:r w:rsidR="00CF4F64">
        <w:rPr>
          <w:rFonts w:ascii="David" w:hAnsi="David"/>
          <w:rtl/>
        </w:rPr>
        <w:t>צופה היה כי יתקשר למשטרה לאחר "</w:t>
      </w:r>
      <w:r>
        <w:rPr>
          <w:rFonts w:ascii="David" w:hAnsi="David"/>
          <w:rtl/>
        </w:rPr>
        <w:t>שנטרל"</w:t>
      </w:r>
      <w:r w:rsidR="00CF4F64">
        <w:rPr>
          <w:rFonts w:ascii="David" w:hAnsi="David" w:hint="cs"/>
          <w:rtl/>
        </w:rPr>
        <w:t xml:space="preserve"> </w:t>
      </w:r>
      <w:r>
        <w:rPr>
          <w:rFonts w:ascii="David" w:hAnsi="David"/>
          <w:rtl/>
        </w:rPr>
        <w:t xml:space="preserve">את מקור הסכנה או למצער יגיע עצמאית לתחנת המשטרה הקרובה. בהתאם למפורט בדוח הפעולה של השוטר איגור ליובשבסקי (ת/9), הרי שהנאשם נעצר </w:t>
      </w:r>
      <w:r w:rsidR="002A2DF3">
        <w:rPr>
          <w:rFonts w:ascii="David" w:hAnsi="David" w:hint="cs"/>
          <w:rtl/>
        </w:rPr>
        <w:t xml:space="preserve">בפעולה יזומה של המשטרה </w:t>
      </w:r>
      <w:r>
        <w:rPr>
          <w:rFonts w:ascii="David" w:hAnsi="David"/>
          <w:rtl/>
        </w:rPr>
        <w:t xml:space="preserve">זמן מה לאחר האירוע כשהוא הולך עם אחר ברחוב חכם שמעון. </w:t>
      </w:r>
    </w:p>
    <w:p w:rsidR="00EE7869" w:rsidRDefault="00EE7869" w:rsidP="00EE7869">
      <w:pPr>
        <w:spacing w:line="360" w:lineRule="auto"/>
        <w:ind w:left="720"/>
        <w:jc w:val="both"/>
        <w:rPr>
          <w:rFonts w:ascii="David" w:hAnsi="David"/>
          <w:rtl/>
        </w:rPr>
      </w:pPr>
    </w:p>
    <w:p w:rsidR="00EE7869" w:rsidRDefault="00C3669C" w:rsidP="00CF4F64">
      <w:pPr>
        <w:spacing w:line="360" w:lineRule="auto"/>
        <w:ind w:left="720" w:hanging="720"/>
        <w:jc w:val="both"/>
        <w:rPr>
          <w:rFonts w:ascii="David" w:hAnsi="David"/>
          <w:rtl/>
        </w:rPr>
      </w:pPr>
      <w:r>
        <w:rPr>
          <w:rFonts w:ascii="David" w:hAnsi="David" w:hint="cs"/>
          <w:rtl/>
        </w:rPr>
        <w:t>24</w:t>
      </w:r>
      <w:r w:rsidR="00EE7869">
        <w:rPr>
          <w:rFonts w:ascii="David" w:hAnsi="David"/>
          <w:rtl/>
        </w:rPr>
        <w:t>.</w:t>
      </w:r>
      <w:r w:rsidR="00EE7869">
        <w:rPr>
          <w:rFonts w:ascii="David" w:hAnsi="David"/>
          <w:rtl/>
        </w:rPr>
        <w:tab/>
        <w:t>זאת ועוד. מעשיו של הנאשם לא עומדים בתנאי הנחיצות וזאת גם אם אלך כברת דרך לקראתו ואניח כי חש בסכנה וביקש להגן על חייו או על גופו (וכאמור אינני סבור כך),</w:t>
      </w:r>
      <w:r w:rsidR="00CF4F64">
        <w:rPr>
          <w:rFonts w:ascii="David" w:hAnsi="David" w:hint="cs"/>
          <w:rtl/>
        </w:rPr>
        <w:t xml:space="preserve"> </w:t>
      </w:r>
      <w:r w:rsidR="00EE7869">
        <w:rPr>
          <w:rFonts w:ascii="David" w:hAnsi="David"/>
          <w:rtl/>
        </w:rPr>
        <w:t>שכן עמדו בפניו אלטרנטיבות אחרות זולת דקירתו של המתלונן</w:t>
      </w:r>
      <w:r w:rsidR="00CF4F64">
        <w:rPr>
          <w:rFonts w:ascii="David" w:hAnsi="David" w:hint="cs"/>
          <w:rtl/>
        </w:rPr>
        <w:t>.</w:t>
      </w:r>
    </w:p>
    <w:p w:rsidR="00EE7869" w:rsidRDefault="00EE7869" w:rsidP="00EE7869">
      <w:pPr>
        <w:spacing w:line="360" w:lineRule="auto"/>
        <w:ind w:left="720" w:hanging="720"/>
        <w:jc w:val="both"/>
        <w:rPr>
          <w:rFonts w:ascii="David" w:hAnsi="David"/>
          <w:rtl/>
        </w:rPr>
      </w:pPr>
    </w:p>
    <w:p w:rsidR="00EE7869" w:rsidRDefault="00CF4F64" w:rsidP="00CF4F64">
      <w:pPr>
        <w:spacing w:line="360" w:lineRule="auto"/>
        <w:ind w:left="720"/>
        <w:jc w:val="both"/>
        <w:rPr>
          <w:rFonts w:ascii="David" w:hAnsi="David"/>
          <w:rtl/>
        </w:rPr>
      </w:pPr>
      <w:r>
        <w:rPr>
          <w:rFonts w:ascii="David" w:hAnsi="David"/>
          <w:rtl/>
        </w:rPr>
        <w:t xml:space="preserve">האירוע התרחש בשטח </w:t>
      </w:r>
      <w:r w:rsidR="00EE7869">
        <w:rPr>
          <w:rFonts w:ascii="David" w:hAnsi="David"/>
          <w:rtl/>
        </w:rPr>
        <w:t xml:space="preserve">פתוח- פארק, ודבר לא מנע מהנאשם לנצל את פרק הזמן שבין שני המקטעים לסגת מהמקום בין בהליכה ובין בריצה. בל נשכח כי בזמן שבין שני המקטעים המתלונן עזב את הנאשם והתרחק ממנו.     </w:t>
      </w:r>
    </w:p>
    <w:p w:rsidR="00EE7869" w:rsidRDefault="00EE7869" w:rsidP="00CF4F64">
      <w:pPr>
        <w:spacing w:line="360" w:lineRule="auto"/>
        <w:ind w:left="720"/>
        <w:jc w:val="both"/>
        <w:rPr>
          <w:rFonts w:ascii="David" w:hAnsi="David"/>
          <w:b/>
          <w:bCs/>
          <w:rtl/>
        </w:rPr>
      </w:pPr>
      <w:r>
        <w:rPr>
          <w:rFonts w:ascii="David" w:hAnsi="David"/>
          <w:rtl/>
        </w:rPr>
        <w:t xml:space="preserve">ראה לעניין זה דברי ביהמ"ש העליון </w:t>
      </w:r>
      <w:r>
        <w:rPr>
          <w:rFonts w:ascii="David" w:hAnsi="David"/>
          <w:b/>
          <w:bCs/>
          <w:rtl/>
        </w:rPr>
        <w:t xml:space="preserve">בע"פ 7712/12 פלוני נ' מדינת ישראל </w:t>
      </w:r>
      <w:r>
        <w:rPr>
          <w:rFonts w:ascii="David" w:hAnsi="David"/>
          <w:rtl/>
        </w:rPr>
        <w:t xml:space="preserve">(23.5.13) כי </w:t>
      </w:r>
      <w:r>
        <w:rPr>
          <w:rFonts w:ascii="David" w:hAnsi="David"/>
          <w:b/>
          <w:bCs/>
          <w:rtl/>
        </w:rPr>
        <w:t>"לא יתכן חולק כי היודע קונקרטית שעלול הוא להסתבך במ</w:t>
      </w:r>
      <w:r w:rsidR="00CF4F64">
        <w:rPr>
          <w:rFonts w:ascii="David" w:hAnsi="David"/>
          <w:b/>
          <w:bCs/>
          <w:rtl/>
        </w:rPr>
        <w:t>קום פלוני, ירחק הימנו כמפני אש"</w:t>
      </w:r>
      <w:r w:rsidR="00CF4F64">
        <w:rPr>
          <w:rFonts w:ascii="David" w:hAnsi="David" w:hint="cs"/>
          <w:b/>
          <w:bCs/>
          <w:rtl/>
        </w:rPr>
        <w:t>.</w:t>
      </w:r>
      <w:r>
        <w:rPr>
          <w:rFonts w:ascii="David" w:hAnsi="David"/>
          <w:rtl/>
        </w:rPr>
        <w:t xml:space="preserve"> </w:t>
      </w:r>
    </w:p>
    <w:p w:rsidR="00EE7869" w:rsidRDefault="00EE7869" w:rsidP="00EE7869">
      <w:pPr>
        <w:spacing w:line="360" w:lineRule="auto"/>
        <w:ind w:left="720"/>
        <w:jc w:val="both"/>
        <w:rPr>
          <w:rFonts w:ascii="David" w:hAnsi="David"/>
          <w:b/>
          <w:bCs/>
          <w:rtl/>
        </w:rPr>
      </w:pPr>
    </w:p>
    <w:p w:rsidR="00EE7869" w:rsidRDefault="00EE7869" w:rsidP="005D2841">
      <w:pPr>
        <w:spacing w:line="360" w:lineRule="auto"/>
        <w:ind w:left="720"/>
        <w:jc w:val="both"/>
        <w:rPr>
          <w:rFonts w:ascii="David" w:hAnsi="David"/>
          <w:rtl/>
        </w:rPr>
      </w:pPr>
      <w:r>
        <w:rPr>
          <w:rFonts w:ascii="David" w:hAnsi="David"/>
          <w:rtl/>
        </w:rPr>
        <w:t xml:space="preserve">מהעדויות </w:t>
      </w:r>
      <w:r w:rsidR="005D2841">
        <w:rPr>
          <w:rFonts w:ascii="David" w:hAnsi="David" w:hint="cs"/>
          <w:rtl/>
        </w:rPr>
        <w:t xml:space="preserve">אף </w:t>
      </w:r>
      <w:r>
        <w:rPr>
          <w:rFonts w:ascii="David" w:hAnsi="David"/>
          <w:rtl/>
        </w:rPr>
        <w:t>עולה כי הז</w:t>
      </w:r>
      <w:r w:rsidR="008B43F5">
        <w:rPr>
          <w:rFonts w:ascii="David" w:hAnsi="David"/>
          <w:rtl/>
        </w:rPr>
        <w:t xml:space="preserve">מן שבין שני המקטעים הסתיים </w:t>
      </w:r>
      <w:r w:rsidR="008B43F5">
        <w:rPr>
          <w:rFonts w:ascii="David" w:hAnsi="David" w:hint="cs"/>
          <w:rtl/>
        </w:rPr>
        <w:t>כ</w:t>
      </w:r>
      <w:r>
        <w:rPr>
          <w:rFonts w:ascii="David" w:hAnsi="David"/>
          <w:rtl/>
        </w:rPr>
        <w:t>שהנאשם פנה בהקנטה למתלונן (לעניין תוכן הדברים ומשמעותם אדרש בהמשך), ו</w:t>
      </w:r>
      <w:r w:rsidR="00CF4F64">
        <w:rPr>
          <w:rFonts w:ascii="David" w:hAnsi="David"/>
          <w:rtl/>
        </w:rPr>
        <w:t>האחרון חזר לכיוונו.  בפני הנאשם</w:t>
      </w:r>
      <w:r>
        <w:rPr>
          <w:rFonts w:ascii="David" w:hAnsi="David"/>
          <w:rtl/>
        </w:rPr>
        <w:t>,</w:t>
      </w:r>
      <w:r w:rsidR="00CF4F64">
        <w:rPr>
          <w:rFonts w:ascii="David" w:hAnsi="David" w:hint="cs"/>
          <w:rtl/>
        </w:rPr>
        <w:t xml:space="preserve"> </w:t>
      </w:r>
      <w:r>
        <w:rPr>
          <w:rFonts w:ascii="David" w:hAnsi="David"/>
          <w:rtl/>
        </w:rPr>
        <w:t>אשר כבר הכיר את נחת זרועו של ה</w:t>
      </w:r>
      <w:r w:rsidR="00CF4F64">
        <w:rPr>
          <w:rFonts w:ascii="David" w:hAnsi="David"/>
          <w:rtl/>
        </w:rPr>
        <w:t>מתלונן ויכול היה לשער את כוונתו</w:t>
      </w:r>
      <w:r>
        <w:rPr>
          <w:rFonts w:ascii="David" w:hAnsi="David"/>
          <w:rtl/>
        </w:rPr>
        <w:t>, עמדה אפשרות נוספת לברוח מהמקום ולהגן על עצמו חלף שימוש באקט הדקירה.</w:t>
      </w:r>
    </w:p>
    <w:p w:rsidR="00CF4F64" w:rsidRDefault="00CF4F64" w:rsidP="00EE7869">
      <w:pPr>
        <w:spacing w:line="360" w:lineRule="auto"/>
        <w:ind w:left="720" w:hanging="720"/>
        <w:jc w:val="both"/>
        <w:rPr>
          <w:rFonts w:ascii="David" w:hAnsi="David"/>
          <w:rtl/>
        </w:rPr>
      </w:pPr>
    </w:p>
    <w:p w:rsidR="00EE7869" w:rsidRDefault="00EE7869" w:rsidP="005D2841">
      <w:pPr>
        <w:spacing w:line="360" w:lineRule="auto"/>
        <w:ind w:left="720" w:hanging="720"/>
        <w:jc w:val="both"/>
        <w:rPr>
          <w:rFonts w:ascii="David" w:hAnsi="David"/>
          <w:rtl/>
        </w:rPr>
      </w:pPr>
      <w:r>
        <w:rPr>
          <w:rFonts w:ascii="David" w:hAnsi="David"/>
          <w:rtl/>
        </w:rPr>
        <w:tab/>
        <w:t>יתרה מזו, גם אם הנאשם בחר שלא לסגת מהמקום הרי שעמדה בפניו אלטרנטיבה אחרת ופוגענית הרבה פחות. חלף אקט הדקירה</w:t>
      </w:r>
      <w:r w:rsidR="00F37ABB">
        <w:rPr>
          <w:rFonts w:ascii="David" w:hAnsi="David" w:hint="cs"/>
          <w:rtl/>
        </w:rPr>
        <w:t>,</w:t>
      </w:r>
      <w:r w:rsidR="005D2841">
        <w:rPr>
          <w:rFonts w:ascii="David" w:hAnsi="David" w:hint="cs"/>
          <w:rtl/>
        </w:rPr>
        <w:t xml:space="preserve"> </w:t>
      </w:r>
      <w:r>
        <w:rPr>
          <w:rFonts w:ascii="David" w:hAnsi="David"/>
          <w:rtl/>
        </w:rPr>
        <w:t>הנאשם יכול היה לקרוא לעזרת חבריו שהיו במקום  (קל וחומר שבנקודת זמן זו חזר למקום האירו</w:t>
      </w:r>
      <w:r w:rsidR="00F37ABB">
        <w:rPr>
          <w:rFonts w:ascii="David" w:hAnsi="David"/>
          <w:rtl/>
        </w:rPr>
        <w:t xml:space="preserve">ע חבר נוסף של הנאשם – </w:t>
      </w:r>
      <w:r w:rsidR="00F37ABB">
        <w:rPr>
          <w:rFonts w:ascii="David" w:hAnsi="David" w:hint="cs"/>
          <w:rtl/>
        </w:rPr>
        <w:t xml:space="preserve">גריגורי </w:t>
      </w:r>
      <w:r w:rsidR="005D2841">
        <w:rPr>
          <w:rFonts w:ascii="David" w:hAnsi="David" w:hint="cs"/>
          <w:rtl/>
        </w:rPr>
        <w:t>שבצקו</w:t>
      </w:r>
      <w:r>
        <w:rPr>
          <w:rFonts w:ascii="David" w:hAnsi="David"/>
          <w:rtl/>
        </w:rPr>
        <w:t>), ולמצער לנסות ולהרתיע את המתלונן לבל יתקרב אליו (כך למשל</w:t>
      </w:r>
      <w:r w:rsidR="00CF4F64">
        <w:rPr>
          <w:rFonts w:ascii="David" w:hAnsi="David"/>
          <w:rtl/>
        </w:rPr>
        <w:t xml:space="preserve"> באמצעות נפנוף בסכין שאחז</w:t>
      </w:r>
      <w:r>
        <w:rPr>
          <w:rFonts w:ascii="David" w:hAnsi="David"/>
          <w:rtl/>
        </w:rPr>
        <w:t xml:space="preserve">). </w:t>
      </w:r>
    </w:p>
    <w:p w:rsidR="00EE7869" w:rsidRDefault="00EE7869" w:rsidP="00EE7869">
      <w:pPr>
        <w:spacing w:line="360" w:lineRule="auto"/>
        <w:ind w:left="720" w:hanging="720"/>
        <w:jc w:val="both"/>
        <w:rPr>
          <w:rFonts w:ascii="David" w:hAnsi="David"/>
          <w:rtl/>
        </w:rPr>
      </w:pPr>
    </w:p>
    <w:p w:rsidR="00EE7869" w:rsidRDefault="00C3669C" w:rsidP="00586260">
      <w:pPr>
        <w:spacing w:line="360" w:lineRule="auto"/>
        <w:ind w:left="720" w:hanging="720"/>
        <w:jc w:val="both"/>
        <w:rPr>
          <w:rFonts w:ascii="David" w:hAnsi="David"/>
          <w:rtl/>
        </w:rPr>
      </w:pPr>
      <w:r>
        <w:rPr>
          <w:rFonts w:ascii="David" w:hAnsi="David" w:hint="cs"/>
          <w:rtl/>
        </w:rPr>
        <w:t>25</w:t>
      </w:r>
      <w:r w:rsidR="00EE7869">
        <w:rPr>
          <w:rFonts w:ascii="David" w:hAnsi="David"/>
          <w:rtl/>
        </w:rPr>
        <w:t>.</w:t>
      </w:r>
      <w:r w:rsidR="00EE7869">
        <w:rPr>
          <w:rFonts w:ascii="David" w:hAnsi="David"/>
          <w:rtl/>
        </w:rPr>
        <w:tab/>
        <w:t>בענייננו לא מתקיי</w:t>
      </w:r>
      <w:r w:rsidR="00586260">
        <w:rPr>
          <w:rFonts w:ascii="David" w:hAnsi="David"/>
          <w:rtl/>
        </w:rPr>
        <w:t>ם אף תנאי הסבירות (פרופורציה) כ</w:t>
      </w:r>
      <w:r w:rsidR="00586260">
        <w:rPr>
          <w:rFonts w:ascii="David" w:hAnsi="David" w:hint="cs"/>
          <w:rtl/>
        </w:rPr>
        <w:t>מתחייב</w:t>
      </w:r>
      <w:r w:rsidR="00586260">
        <w:rPr>
          <w:rFonts w:ascii="David" w:hAnsi="David"/>
          <w:rtl/>
        </w:rPr>
        <w:t xml:space="preserve"> מסעיף 34</w:t>
      </w:r>
      <w:r w:rsidR="00EE7869">
        <w:rPr>
          <w:rFonts w:ascii="David" w:hAnsi="David"/>
          <w:rtl/>
        </w:rPr>
        <w:t>טז לחוק העונשין. בהתחשב בעובדה שהמתלונן לא היה חמוש בכלי נשק חם או קר, והמקטע הראשון של האירוע המתואר בכתב האישום הסתיים בחבלות שלא חייבו טיפול רפואי, הרי שהפעולה שבה נקט הנאשם</w:t>
      </w:r>
      <w:r w:rsidR="00CF4F64">
        <w:rPr>
          <w:rFonts w:ascii="David" w:hAnsi="David"/>
          <w:rtl/>
        </w:rPr>
        <w:t>-</w:t>
      </w:r>
      <w:r w:rsidR="00EE7869">
        <w:rPr>
          <w:rFonts w:ascii="David" w:hAnsi="David"/>
          <w:rtl/>
        </w:rPr>
        <w:t>דקירת סכין בבטנו של המתלונן - משקפת אלימות שאינה פר</w:t>
      </w:r>
      <w:r w:rsidR="00CF4F64">
        <w:rPr>
          <w:rFonts w:ascii="David" w:hAnsi="David"/>
          <w:rtl/>
        </w:rPr>
        <w:t>ופורציונאלית ויש בה מימד קטלני.</w:t>
      </w:r>
      <w:r w:rsidR="00CF4F64">
        <w:rPr>
          <w:rFonts w:ascii="David" w:hAnsi="David" w:hint="cs"/>
          <w:rtl/>
        </w:rPr>
        <w:t xml:space="preserve"> </w:t>
      </w:r>
      <w:r w:rsidR="00EE7869">
        <w:rPr>
          <w:rFonts w:ascii="David" w:hAnsi="David"/>
          <w:rtl/>
        </w:rPr>
        <w:t xml:space="preserve">לעניין זה אדגיש כי </w:t>
      </w:r>
      <w:r w:rsidR="00EE7869">
        <w:rPr>
          <w:rFonts w:ascii="David" w:hAnsi="David"/>
          <w:b/>
          <w:bCs/>
          <w:rtl/>
        </w:rPr>
        <w:t>"הסבירות במהותה נקבעת על סמך מבחן אובייקטיבי..."</w:t>
      </w:r>
      <w:r w:rsidR="00EE7869">
        <w:rPr>
          <w:rFonts w:ascii="David" w:hAnsi="David"/>
          <w:rtl/>
        </w:rPr>
        <w:t xml:space="preserve"> </w:t>
      </w:r>
      <w:r w:rsidR="00EE7869">
        <w:rPr>
          <w:rFonts w:ascii="David" w:hAnsi="David"/>
          <w:b/>
          <w:bCs/>
          <w:rtl/>
        </w:rPr>
        <w:t xml:space="preserve">ע"פ 4785/90 ג'בארין נ' מ"י </w:t>
      </w:r>
      <w:r w:rsidR="00EE7869">
        <w:rPr>
          <w:rFonts w:ascii="David" w:hAnsi="David"/>
          <w:rtl/>
        </w:rPr>
        <w:t>(29.8.95)</w:t>
      </w:r>
      <w:r w:rsidR="00EE7869">
        <w:rPr>
          <w:rFonts w:ascii="David" w:hAnsi="David"/>
          <w:b/>
          <w:bCs/>
          <w:rtl/>
        </w:rPr>
        <w:t>.</w:t>
      </w:r>
    </w:p>
    <w:p w:rsidR="00EE7869" w:rsidRDefault="00EE7869" w:rsidP="00EE7869">
      <w:pPr>
        <w:spacing w:line="360" w:lineRule="auto"/>
        <w:ind w:left="720" w:hanging="720"/>
        <w:jc w:val="both"/>
        <w:rPr>
          <w:rFonts w:ascii="David" w:hAnsi="David"/>
          <w:rtl/>
        </w:rPr>
      </w:pPr>
      <w:r>
        <w:rPr>
          <w:rFonts w:ascii="David" w:hAnsi="David"/>
          <w:rtl/>
        </w:rPr>
        <w:t xml:space="preserve"> </w:t>
      </w:r>
    </w:p>
    <w:p w:rsidR="00EE7869" w:rsidRDefault="00EE7869" w:rsidP="008E00A5">
      <w:pPr>
        <w:spacing w:line="360" w:lineRule="auto"/>
        <w:ind w:left="720" w:hanging="720"/>
        <w:jc w:val="both"/>
        <w:rPr>
          <w:rFonts w:ascii="David" w:hAnsi="David"/>
          <w:rtl/>
        </w:rPr>
      </w:pPr>
      <w:r>
        <w:rPr>
          <w:rFonts w:ascii="David" w:hAnsi="David"/>
          <w:rtl/>
        </w:rPr>
        <w:tab/>
        <w:t>לא ניתן להתעלם מהפער המשמעותי שבין פצע הדקירה שנגרם למתלונן (באורך שלושה ס"מ בבטנו האמצעית התחתונה</w:t>
      </w:r>
      <w:r w:rsidR="00A5643C">
        <w:rPr>
          <w:rFonts w:ascii="David" w:hAnsi="David" w:hint="cs"/>
          <w:rtl/>
        </w:rPr>
        <w:t xml:space="preserve"> )</w:t>
      </w:r>
      <w:r>
        <w:rPr>
          <w:rFonts w:ascii="David" w:hAnsi="David"/>
          <w:rtl/>
        </w:rPr>
        <w:t xml:space="preserve"> אשר חייב את ניתוחו ואשפ</w:t>
      </w:r>
      <w:r w:rsidR="008E00A5">
        <w:rPr>
          <w:rFonts w:ascii="David" w:hAnsi="David"/>
          <w:rtl/>
        </w:rPr>
        <w:t>וזו במשך מספר ימים כמפורט בת/10</w:t>
      </w:r>
      <w:r w:rsidR="008E00A5">
        <w:rPr>
          <w:rFonts w:ascii="David" w:hAnsi="David" w:hint="cs"/>
          <w:rtl/>
        </w:rPr>
        <w:t xml:space="preserve"> </w:t>
      </w:r>
      <w:r>
        <w:rPr>
          <w:rFonts w:ascii="David" w:hAnsi="David"/>
          <w:rtl/>
        </w:rPr>
        <w:t xml:space="preserve">לבין החבלות השטחיות בפניו של הנאשם כמפורט בנ/2. </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C3669C" w:rsidP="008E00A5">
      <w:pPr>
        <w:spacing w:line="360" w:lineRule="auto"/>
        <w:ind w:left="720" w:hanging="720"/>
        <w:jc w:val="both"/>
        <w:rPr>
          <w:rFonts w:ascii="David" w:hAnsi="David"/>
          <w:rtl/>
        </w:rPr>
      </w:pPr>
      <w:r>
        <w:rPr>
          <w:rFonts w:ascii="David" w:hAnsi="David" w:hint="cs"/>
          <w:rtl/>
        </w:rPr>
        <w:t>26</w:t>
      </w:r>
      <w:r w:rsidR="00EE7869">
        <w:rPr>
          <w:rFonts w:ascii="David" w:hAnsi="David"/>
          <w:rtl/>
        </w:rPr>
        <w:t>.</w:t>
      </w:r>
      <w:r w:rsidR="00EE7869">
        <w:rPr>
          <w:rFonts w:ascii="David" w:hAnsi="David"/>
          <w:rtl/>
        </w:rPr>
        <w:tab/>
        <w:t>דקירתו של הנאשם את המתלונן היתה דקירה רצינית ועמוקה כפי שהדבר נלמד, גם ללא חוות דעת רפואית, מהמסמכים הרפואיים שהוגשו ביחס למתלונן (ת/10) ובדגש על הפגיעות בעורק ובשריר אשר חייבו את תפירתן (ר'</w:t>
      </w:r>
      <w:r w:rsidR="00586260">
        <w:rPr>
          <w:rFonts w:ascii="David" w:hAnsi="David"/>
          <w:rtl/>
        </w:rPr>
        <w:t xml:space="preserve"> טבלת "סיכום ניתוח" – סומן ת/10</w:t>
      </w:r>
      <w:r w:rsidR="00EE7869">
        <w:rPr>
          <w:rFonts w:ascii="David" w:hAnsi="David"/>
          <w:rtl/>
        </w:rPr>
        <w:t>א לצורך הכרעת הדין).</w:t>
      </w:r>
    </w:p>
    <w:p w:rsidR="00EE7869" w:rsidRDefault="00EE7869" w:rsidP="008E00A5">
      <w:pPr>
        <w:spacing w:line="360" w:lineRule="auto"/>
        <w:ind w:left="720"/>
        <w:jc w:val="both"/>
        <w:rPr>
          <w:rFonts w:ascii="David" w:hAnsi="David"/>
          <w:rtl/>
        </w:rPr>
      </w:pPr>
      <w:r>
        <w:rPr>
          <w:rFonts w:ascii="David" w:hAnsi="David"/>
          <w:rtl/>
        </w:rPr>
        <w:t>החבלה החמורה שנגרמה למתלונן, ובכלל זה הפגיעות בעורק ובשריר, מעידות על הכוח הרב שהשקיע הנאשם באקט הדקירה, וברי כי לא היה מדובר בפעולה סבירה ופרופורציונאלית שנועדה רק כדי להדוף את המתלונן.</w:t>
      </w:r>
    </w:p>
    <w:p w:rsidR="00EE7869" w:rsidRDefault="00EE7869" w:rsidP="00EE7869">
      <w:pPr>
        <w:spacing w:line="360" w:lineRule="auto"/>
        <w:ind w:left="720" w:hanging="720"/>
        <w:jc w:val="both"/>
        <w:rPr>
          <w:rFonts w:ascii="David" w:hAnsi="David"/>
          <w:rtl/>
        </w:rPr>
      </w:pPr>
      <w:r>
        <w:rPr>
          <w:rFonts w:ascii="David" w:hAnsi="David"/>
          <w:rtl/>
        </w:rPr>
        <w:tab/>
        <w:t xml:space="preserve">מהאמור לעיל עולה כי הנאשם לא ביקש להגן על עצמו אלא ביקש להשיב למתלונן כגמולו נוכח המכות שספג במקטע הראשון של האירוע. </w:t>
      </w:r>
    </w:p>
    <w:p w:rsidR="00586260" w:rsidRDefault="00586260" w:rsidP="008E00A5">
      <w:pPr>
        <w:spacing w:line="360" w:lineRule="auto"/>
        <w:ind w:left="720" w:hanging="720"/>
        <w:jc w:val="both"/>
        <w:rPr>
          <w:rFonts w:ascii="David" w:hAnsi="David"/>
          <w:rtl/>
        </w:rPr>
      </w:pPr>
    </w:p>
    <w:p w:rsidR="00586260" w:rsidRDefault="00586260" w:rsidP="008E00A5">
      <w:pPr>
        <w:spacing w:line="360" w:lineRule="auto"/>
        <w:ind w:left="720" w:hanging="720"/>
        <w:jc w:val="both"/>
        <w:rPr>
          <w:rFonts w:ascii="David" w:hAnsi="David"/>
          <w:rtl/>
        </w:rPr>
      </w:pPr>
    </w:p>
    <w:p w:rsidR="00EE7869" w:rsidRDefault="002E773A" w:rsidP="00586260">
      <w:pPr>
        <w:spacing w:line="360" w:lineRule="auto"/>
        <w:ind w:left="720" w:hanging="720"/>
        <w:jc w:val="both"/>
        <w:rPr>
          <w:rFonts w:ascii="David" w:hAnsi="David"/>
          <w:rtl/>
        </w:rPr>
      </w:pPr>
      <w:r>
        <w:rPr>
          <w:rFonts w:ascii="David" w:hAnsi="David"/>
          <w:rtl/>
        </w:rPr>
        <w:tab/>
        <w:t>הנאשם של</w:t>
      </w:r>
      <w:r>
        <w:rPr>
          <w:rFonts w:ascii="David" w:hAnsi="David" w:hint="cs"/>
          <w:rtl/>
        </w:rPr>
        <w:t>דבריו</w:t>
      </w:r>
      <w:r w:rsidR="00EE7869">
        <w:rPr>
          <w:rFonts w:ascii="David" w:hAnsi="David"/>
          <w:rtl/>
        </w:rPr>
        <w:t xml:space="preserve"> שתה </w:t>
      </w:r>
      <w:r w:rsidR="00EE7869">
        <w:rPr>
          <w:rFonts w:ascii="David" w:hAnsi="David"/>
          <w:b/>
          <w:bCs/>
          <w:rtl/>
        </w:rPr>
        <w:t xml:space="preserve">"5-6 כוסות פלסטיק" </w:t>
      </w:r>
      <w:r w:rsidR="00EE7869">
        <w:rPr>
          <w:rFonts w:ascii="David" w:hAnsi="David"/>
          <w:rtl/>
        </w:rPr>
        <w:t>של אלכוהול (עמ' 362 ש' 1), ואחז בסכין עת דקר את המתלונן, היה אדיש לאפשרות גרימת חבלה חמורה למתלונן</w:t>
      </w:r>
      <w:r w:rsidR="008E00A5">
        <w:rPr>
          <w:rFonts w:ascii="David" w:hAnsi="David"/>
          <w:rtl/>
        </w:rPr>
        <w:t xml:space="preserve">, ובמילותיו שלו  </w:t>
      </w:r>
      <w:r w:rsidR="008E00A5">
        <w:rPr>
          <w:rFonts w:ascii="David" w:hAnsi="David"/>
          <w:b/>
          <w:bCs/>
          <w:rtl/>
        </w:rPr>
        <w:t>"</w:t>
      </w:r>
      <w:r w:rsidR="00EE7869">
        <w:rPr>
          <w:rFonts w:ascii="David" w:hAnsi="David"/>
          <w:b/>
          <w:bCs/>
          <w:rtl/>
        </w:rPr>
        <w:t>כשיש מכות אין בכלל היגיון"</w:t>
      </w:r>
      <w:r w:rsidR="00EE7869">
        <w:rPr>
          <w:rFonts w:ascii="David" w:hAnsi="David"/>
          <w:rtl/>
        </w:rPr>
        <w:t xml:space="preserve"> (עמ' 361 ש' 4).</w:t>
      </w:r>
      <w:r w:rsidR="00867234">
        <w:rPr>
          <w:rFonts w:ascii="David" w:hAnsi="David" w:hint="cs"/>
          <w:rtl/>
        </w:rPr>
        <w:t xml:space="preserve"> אעיר כי לדברי העד רומן שמטקו, הנאשם שתה </w:t>
      </w:r>
      <w:r w:rsidR="00867234" w:rsidRPr="00867234">
        <w:rPr>
          <w:rFonts w:ascii="David" w:hAnsi="David" w:hint="cs"/>
          <w:b/>
          <w:bCs/>
          <w:rtl/>
        </w:rPr>
        <w:t>"פחות או יותר 7 -8 כוסות ..של וויסקי"</w:t>
      </w:r>
      <w:r w:rsidR="00586260">
        <w:rPr>
          <w:rFonts w:ascii="David" w:hAnsi="David" w:hint="cs"/>
          <w:rtl/>
        </w:rPr>
        <w:t xml:space="preserve"> (</w:t>
      </w:r>
      <w:r w:rsidR="00867234">
        <w:rPr>
          <w:rFonts w:ascii="David" w:hAnsi="David" w:hint="cs"/>
          <w:rtl/>
        </w:rPr>
        <w:t>עמ' 199 ש' 4).</w:t>
      </w:r>
    </w:p>
    <w:p w:rsidR="008E00A5" w:rsidRDefault="008E00A5" w:rsidP="00EE7869">
      <w:pPr>
        <w:spacing w:line="360" w:lineRule="auto"/>
        <w:ind w:left="720" w:hanging="720"/>
        <w:jc w:val="both"/>
        <w:rPr>
          <w:rFonts w:ascii="David" w:hAnsi="David"/>
          <w:rtl/>
        </w:rPr>
      </w:pPr>
    </w:p>
    <w:p w:rsidR="00EE7869" w:rsidRDefault="00C3669C" w:rsidP="008E00A5">
      <w:pPr>
        <w:spacing w:line="360" w:lineRule="auto"/>
        <w:ind w:left="720" w:hanging="720"/>
        <w:jc w:val="both"/>
        <w:rPr>
          <w:rFonts w:ascii="David" w:hAnsi="David"/>
          <w:rtl/>
        </w:rPr>
      </w:pPr>
      <w:r>
        <w:rPr>
          <w:rFonts w:ascii="David" w:hAnsi="David" w:hint="cs"/>
          <w:rtl/>
        </w:rPr>
        <w:t>27</w:t>
      </w:r>
      <w:r w:rsidR="00EE7869">
        <w:rPr>
          <w:rFonts w:ascii="David" w:hAnsi="David"/>
          <w:rtl/>
        </w:rPr>
        <w:t>.</w:t>
      </w:r>
      <w:r w:rsidR="00EE7869">
        <w:rPr>
          <w:rFonts w:ascii="David" w:hAnsi="David"/>
          <w:rtl/>
        </w:rPr>
        <w:tab/>
        <w:t>זאת ועוד. בזמן שבין המקטעים, ולמרות שהמתלונן התרחק ממנ</w:t>
      </w:r>
      <w:r w:rsidR="008E00A5">
        <w:rPr>
          <w:rFonts w:ascii="David" w:hAnsi="David" w:hint="cs"/>
          <w:rtl/>
        </w:rPr>
        <w:t>ו</w:t>
      </w:r>
      <w:r w:rsidR="008E00A5">
        <w:rPr>
          <w:rFonts w:ascii="David" w:hAnsi="David"/>
          <w:rtl/>
        </w:rPr>
        <w:t>, בחר הנאשם "</w:t>
      </w:r>
      <w:r w:rsidR="00EE7869" w:rsidRPr="008102EF">
        <w:rPr>
          <w:rFonts w:ascii="David" w:hAnsi="David"/>
          <w:b/>
          <w:bCs/>
          <w:rtl/>
        </w:rPr>
        <w:t>בהתנהגות פסולה "</w:t>
      </w:r>
      <w:r w:rsidR="00EE7869">
        <w:rPr>
          <w:rFonts w:ascii="David" w:hAnsi="David"/>
          <w:rtl/>
        </w:rPr>
        <w:t xml:space="preserve"> </w:t>
      </w:r>
      <w:r w:rsidR="00586260">
        <w:rPr>
          <w:rFonts w:ascii="David" w:hAnsi="David" w:hint="cs"/>
          <w:rtl/>
        </w:rPr>
        <w:t>(כלשון סעיף 34 י לחוק העונשין</w:t>
      </w:r>
      <w:r w:rsidR="008102EF">
        <w:rPr>
          <w:rFonts w:ascii="David" w:hAnsi="David" w:hint="cs"/>
          <w:rtl/>
        </w:rPr>
        <w:t xml:space="preserve">) </w:t>
      </w:r>
      <w:r w:rsidR="00EE7869">
        <w:rPr>
          <w:rFonts w:ascii="David" w:hAnsi="David"/>
          <w:rtl/>
        </w:rPr>
        <w:t>לפנות למתלונן ולהקניטו. לאחר</w:t>
      </w:r>
      <w:r w:rsidR="008E00A5">
        <w:rPr>
          <w:rFonts w:ascii="David" w:hAnsi="David"/>
          <w:rtl/>
        </w:rPr>
        <w:t xml:space="preserve"> שהמתלונן הכה אותו במקטע הראשון</w:t>
      </w:r>
      <w:r w:rsidR="00EE7869">
        <w:rPr>
          <w:rFonts w:ascii="David" w:hAnsi="David"/>
          <w:rtl/>
        </w:rPr>
        <w:t>, הנאשם יכול היה לצפות ברמת גבוהה של ודאות כי פניה מקניטה אל המתלונן, תוביל לחזרתו האלימה אליו, וברי כי אינו רשאי, גם מסיבה זו, להישען על סייג ההגנה העצמית.</w:t>
      </w:r>
    </w:p>
    <w:p w:rsidR="00EE7869" w:rsidRDefault="00EE7869" w:rsidP="00EE7869">
      <w:pPr>
        <w:spacing w:line="360" w:lineRule="auto"/>
        <w:ind w:left="720" w:hanging="720"/>
        <w:jc w:val="both"/>
        <w:rPr>
          <w:rFonts w:ascii="David" w:hAnsi="David"/>
          <w:rtl/>
        </w:rPr>
      </w:pPr>
    </w:p>
    <w:p w:rsidR="00EE7869" w:rsidRDefault="00EE7869" w:rsidP="008E00A5">
      <w:pPr>
        <w:spacing w:line="360" w:lineRule="auto"/>
        <w:ind w:left="720" w:hanging="720"/>
        <w:jc w:val="both"/>
        <w:rPr>
          <w:rFonts w:ascii="David" w:hAnsi="David"/>
          <w:rtl/>
        </w:rPr>
      </w:pPr>
      <w:r>
        <w:rPr>
          <w:rFonts w:ascii="David" w:hAnsi="David"/>
          <w:rtl/>
        </w:rPr>
        <w:tab/>
        <w:t xml:space="preserve">מר יבגני פיאנזין העיד כי בזמן שבין המקטעים ולאחר שהנאשם נעמד הוא פנה אל המתלונן ואמר </w:t>
      </w:r>
      <w:r>
        <w:rPr>
          <w:rFonts w:ascii="David" w:hAnsi="David"/>
          <w:b/>
          <w:bCs/>
          <w:rtl/>
        </w:rPr>
        <w:t>"...</w:t>
      </w:r>
      <w:r w:rsidR="008E00A5">
        <w:rPr>
          <w:rFonts w:ascii="David" w:hAnsi="David" w:hint="cs"/>
          <w:b/>
          <w:bCs/>
          <w:rtl/>
        </w:rPr>
        <w:t xml:space="preserve"> </w:t>
      </w:r>
      <w:r>
        <w:rPr>
          <w:rFonts w:ascii="David" w:hAnsi="David"/>
          <w:b/>
          <w:bCs/>
          <w:rtl/>
        </w:rPr>
        <w:t>הוא אמר כאילו אולי בוא, ואולי עוד משהו... את המילים, נו? כאילו לא טובים אולי, משהו כזה"</w:t>
      </w:r>
      <w:r>
        <w:rPr>
          <w:rFonts w:ascii="David" w:hAnsi="David"/>
          <w:rtl/>
        </w:rPr>
        <w:t xml:space="preserve"> (עמ' 123 ש' 1-5). כשהתבקש להבהיר יותר ביחס למילים</w:t>
      </w:r>
      <w:r w:rsidR="008E00A5">
        <w:rPr>
          <w:rFonts w:ascii="David" w:hAnsi="David"/>
          <w:rtl/>
        </w:rPr>
        <w:t xml:space="preserve"> שאמר הנאשם למתלונן</w:t>
      </w:r>
      <w:r>
        <w:rPr>
          <w:rFonts w:ascii="David" w:hAnsi="David"/>
          <w:rtl/>
        </w:rPr>
        <w:t xml:space="preserve">, השיב </w:t>
      </w:r>
      <w:r w:rsidR="008E00A5">
        <w:rPr>
          <w:rFonts w:ascii="David" w:hAnsi="David"/>
          <w:b/>
          <w:bCs/>
          <w:rtl/>
        </w:rPr>
        <w:t>"</w:t>
      </w:r>
      <w:r>
        <w:rPr>
          <w:rFonts w:ascii="David" w:hAnsi="David"/>
          <w:b/>
          <w:bCs/>
          <w:rtl/>
        </w:rPr>
        <w:t>בדיוק אני לא זוכר...אבל משהו לא נעים ..."</w:t>
      </w:r>
      <w:r>
        <w:rPr>
          <w:rFonts w:ascii="David" w:hAnsi="David"/>
          <w:rtl/>
        </w:rPr>
        <w:t xml:space="preserve"> (</w:t>
      </w:r>
      <w:r w:rsidR="008E00A5">
        <w:rPr>
          <w:rFonts w:ascii="David" w:hAnsi="David"/>
          <w:rtl/>
        </w:rPr>
        <w:t>עמ' 149 ש' 12-13</w:t>
      </w:r>
      <w:r>
        <w:rPr>
          <w:rFonts w:ascii="David" w:hAnsi="David"/>
          <w:rtl/>
        </w:rPr>
        <w:t xml:space="preserve">). </w:t>
      </w:r>
    </w:p>
    <w:p w:rsidR="00EE7869" w:rsidRDefault="00EE7869" w:rsidP="00EE7869">
      <w:pPr>
        <w:spacing w:line="360" w:lineRule="auto"/>
        <w:ind w:left="720" w:hanging="720"/>
        <w:jc w:val="both"/>
        <w:rPr>
          <w:rFonts w:ascii="David" w:hAnsi="David"/>
          <w:rtl/>
        </w:rPr>
      </w:pPr>
    </w:p>
    <w:p w:rsidR="00EE7869" w:rsidRDefault="00EE7869" w:rsidP="008E00A5">
      <w:pPr>
        <w:spacing w:line="360" w:lineRule="auto"/>
        <w:ind w:left="720" w:hanging="720"/>
        <w:jc w:val="both"/>
        <w:rPr>
          <w:rFonts w:ascii="David" w:hAnsi="David"/>
          <w:b/>
          <w:bCs/>
          <w:rtl/>
        </w:rPr>
      </w:pPr>
      <w:r>
        <w:rPr>
          <w:rFonts w:ascii="David" w:hAnsi="David"/>
          <w:rtl/>
        </w:rPr>
        <w:tab/>
        <w:t xml:space="preserve">דבריו של העד האובייקטיבי פיאנזין לעיל עולים בקנה אחד עם עדותה של אשת המתלונן באשר להתנהגות הנאשם בזמן שבין המקטעים לפיה  </w:t>
      </w:r>
      <w:r>
        <w:rPr>
          <w:rFonts w:ascii="David" w:hAnsi="David"/>
          <w:b/>
          <w:bCs/>
          <w:rtl/>
        </w:rPr>
        <w:t xml:space="preserve">" ...אז יבגני היה כזה סוג של גיבור..." </w:t>
      </w:r>
      <w:r>
        <w:rPr>
          <w:rFonts w:ascii="David" w:hAnsi="David"/>
          <w:rtl/>
        </w:rPr>
        <w:t>(</w:t>
      </w:r>
      <w:r w:rsidR="008E00A5">
        <w:rPr>
          <w:rFonts w:ascii="David" w:hAnsi="David"/>
          <w:rtl/>
        </w:rPr>
        <w:t>עמ' 89 ש' 24</w:t>
      </w:r>
      <w:r>
        <w:rPr>
          <w:rFonts w:ascii="David" w:hAnsi="David"/>
          <w:rtl/>
        </w:rPr>
        <w:t>)</w:t>
      </w:r>
      <w:r>
        <w:rPr>
          <w:rFonts w:ascii="David" w:hAnsi="David"/>
          <w:b/>
          <w:bCs/>
          <w:rtl/>
        </w:rPr>
        <w:t xml:space="preserve">. </w:t>
      </w:r>
    </w:p>
    <w:p w:rsidR="00EE7869" w:rsidRDefault="00EE7869" w:rsidP="00EE7869">
      <w:pPr>
        <w:spacing w:line="360" w:lineRule="auto"/>
        <w:ind w:left="720" w:hanging="720"/>
        <w:jc w:val="both"/>
        <w:rPr>
          <w:rFonts w:ascii="David" w:hAnsi="David"/>
          <w:b/>
          <w:bCs/>
          <w:rtl/>
        </w:rPr>
      </w:pPr>
    </w:p>
    <w:p w:rsidR="00EE7869" w:rsidRDefault="00EE7869" w:rsidP="00EE7869">
      <w:pPr>
        <w:spacing w:line="360" w:lineRule="auto"/>
        <w:ind w:left="720" w:hanging="720"/>
        <w:jc w:val="both"/>
        <w:rPr>
          <w:rFonts w:ascii="David" w:hAnsi="David"/>
          <w:b/>
          <w:bCs/>
          <w:u w:val="single"/>
          <w:rtl/>
        </w:rPr>
      </w:pPr>
      <w:r>
        <w:rPr>
          <w:rFonts w:ascii="David" w:hAnsi="David"/>
          <w:b/>
          <w:bCs/>
          <w:u w:val="single"/>
          <w:rtl/>
        </w:rPr>
        <w:t xml:space="preserve">טענת אכיפה בררנית </w:t>
      </w:r>
    </w:p>
    <w:p w:rsidR="00EE7869" w:rsidRDefault="00EE7869" w:rsidP="00EE7869">
      <w:pPr>
        <w:spacing w:line="360" w:lineRule="auto"/>
        <w:ind w:left="720" w:hanging="720"/>
        <w:jc w:val="both"/>
        <w:rPr>
          <w:rFonts w:ascii="David" w:hAnsi="David"/>
          <w:b/>
          <w:bCs/>
          <w:u w:val="single"/>
          <w:rtl/>
        </w:rPr>
      </w:pPr>
    </w:p>
    <w:p w:rsidR="00EE7869" w:rsidRDefault="00C3669C" w:rsidP="008E00A5">
      <w:pPr>
        <w:spacing w:line="360" w:lineRule="auto"/>
        <w:ind w:left="720" w:hanging="720"/>
        <w:jc w:val="both"/>
        <w:rPr>
          <w:rFonts w:ascii="David" w:hAnsi="David"/>
          <w:rtl/>
        </w:rPr>
      </w:pPr>
      <w:r>
        <w:rPr>
          <w:rFonts w:ascii="David" w:hAnsi="David" w:hint="cs"/>
          <w:rtl/>
        </w:rPr>
        <w:t>28</w:t>
      </w:r>
      <w:r w:rsidR="00EE7869">
        <w:rPr>
          <w:rFonts w:ascii="David" w:hAnsi="David"/>
          <w:rtl/>
        </w:rPr>
        <w:t>.</w:t>
      </w:r>
      <w:r w:rsidR="00EE7869">
        <w:rPr>
          <w:rFonts w:ascii="David" w:hAnsi="David"/>
          <w:rtl/>
        </w:rPr>
        <w:tab/>
        <w:t xml:space="preserve">אינני מקבל את טענת ההגנה בדבר אכיפה בררנית כנטען בשלב המענה  ובסעיפים 113-122 לסיכומיה, ובעניין זה מקובלת עלי עמדת המאשימה כמפורט בסעיף 79 לסיכומיה. אומנם המתלונן הכה את הנאשם במקטע הראשון ולא הוגש נגדו כתב אישום, אך אין לגזור גזרה שווה בין השניים וזאת בשים לב לאלימות הקשה בה נקט הנאשם </w:t>
      </w:r>
      <w:r w:rsidR="00920D86">
        <w:rPr>
          <w:rFonts w:ascii="David" w:hAnsi="David" w:hint="cs"/>
          <w:rtl/>
        </w:rPr>
        <w:t xml:space="preserve"> במקטע השני ותוצאותיה</w:t>
      </w:r>
      <w:r w:rsidR="00EE7869">
        <w:rPr>
          <w:rFonts w:ascii="David" w:hAnsi="David"/>
          <w:rtl/>
        </w:rPr>
        <w:t xml:space="preserve">. בעוד שהנאשם </w:t>
      </w:r>
      <w:r w:rsidR="00920D86">
        <w:rPr>
          <w:rFonts w:ascii="David" w:hAnsi="David"/>
          <w:rtl/>
        </w:rPr>
        <w:t xml:space="preserve">סבל מחבלות שטחיות </w:t>
      </w:r>
      <w:r w:rsidR="00920D86">
        <w:rPr>
          <w:rFonts w:ascii="David" w:hAnsi="David" w:hint="cs"/>
          <w:rtl/>
        </w:rPr>
        <w:t>שלא חייבו</w:t>
      </w:r>
      <w:r w:rsidR="00EE7869">
        <w:rPr>
          <w:rFonts w:ascii="David" w:hAnsi="David"/>
          <w:rtl/>
        </w:rPr>
        <w:t xml:space="preserve"> טיפול רפואי, הרי שהמתלונן אושפז בבית החולים ונזקק לניתוח מציל חיים.</w:t>
      </w:r>
    </w:p>
    <w:p w:rsidR="00EE7869" w:rsidRDefault="00EE7869" w:rsidP="008E00A5">
      <w:pPr>
        <w:spacing w:line="360" w:lineRule="auto"/>
        <w:ind w:left="720" w:hanging="720"/>
        <w:jc w:val="both"/>
        <w:rPr>
          <w:rFonts w:ascii="David" w:hAnsi="David"/>
          <w:rtl/>
        </w:rPr>
      </w:pPr>
      <w:r>
        <w:rPr>
          <w:rFonts w:ascii="David" w:hAnsi="David"/>
          <w:rtl/>
        </w:rPr>
        <w:tab/>
        <w:t>החלטת המאשימה בנסיבות האירוע לעיל שלא להגיש כתב אישום נגד המתלונן,</w:t>
      </w:r>
      <w:r w:rsidR="008E00A5">
        <w:rPr>
          <w:rFonts w:ascii="David" w:hAnsi="David" w:hint="cs"/>
          <w:rtl/>
        </w:rPr>
        <w:t xml:space="preserve"> </w:t>
      </w:r>
      <w:r>
        <w:rPr>
          <w:rFonts w:ascii="David" w:hAnsi="David"/>
          <w:rtl/>
        </w:rPr>
        <w:t>הינה מידתית ובגדרי שיקול הדעת של המאשימה, ובו</w:t>
      </w:r>
      <w:r w:rsidR="008E00A5">
        <w:rPr>
          <w:rFonts w:ascii="David" w:hAnsi="David"/>
          <w:rtl/>
        </w:rPr>
        <w:t>ודאי שאינה גורמת לאותה תחושה של</w:t>
      </w:r>
      <w:r w:rsidR="008E00A5">
        <w:rPr>
          <w:rFonts w:ascii="David" w:hAnsi="David" w:hint="cs"/>
          <w:rtl/>
        </w:rPr>
        <w:t xml:space="preserve"> </w:t>
      </w:r>
      <w:r w:rsidR="008E00A5">
        <w:rPr>
          <w:rFonts w:ascii="David" w:hAnsi="David"/>
          <w:b/>
          <w:bCs/>
          <w:rtl/>
        </w:rPr>
        <w:t>"</w:t>
      </w:r>
      <w:r>
        <w:rPr>
          <w:rFonts w:ascii="David" w:hAnsi="David"/>
          <w:b/>
          <w:bCs/>
          <w:rtl/>
        </w:rPr>
        <w:t>פגיעה חריפה בתחושת הצדק וההגינות"</w:t>
      </w:r>
      <w:r>
        <w:rPr>
          <w:rFonts w:ascii="David" w:hAnsi="David"/>
          <w:rtl/>
        </w:rPr>
        <w:t xml:space="preserve"> כטענת ההגנה. </w:t>
      </w:r>
    </w:p>
    <w:p w:rsidR="00911D97" w:rsidRDefault="00911D97" w:rsidP="008E00A5">
      <w:pPr>
        <w:spacing w:line="360" w:lineRule="auto"/>
        <w:ind w:left="720" w:hanging="720"/>
        <w:jc w:val="both"/>
        <w:rPr>
          <w:rFonts w:ascii="David" w:hAnsi="David"/>
          <w:rtl/>
        </w:rPr>
      </w:pPr>
    </w:p>
    <w:p w:rsidR="00911D97" w:rsidRDefault="00911D97" w:rsidP="008E00A5">
      <w:pPr>
        <w:spacing w:line="360" w:lineRule="auto"/>
        <w:ind w:left="720" w:hanging="720"/>
        <w:jc w:val="both"/>
        <w:rPr>
          <w:rFonts w:ascii="David" w:hAnsi="David"/>
          <w:rtl/>
        </w:rPr>
      </w:pPr>
    </w:p>
    <w:p w:rsidR="00911D97" w:rsidRDefault="00911D97" w:rsidP="008E00A5">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jc w:val="both"/>
        <w:rPr>
          <w:rFonts w:ascii="David" w:hAnsi="David"/>
          <w:b/>
          <w:bCs/>
          <w:u w:val="single"/>
          <w:rtl/>
        </w:rPr>
      </w:pPr>
      <w:r>
        <w:rPr>
          <w:rFonts w:ascii="David" w:hAnsi="David"/>
          <w:b/>
          <w:bCs/>
          <w:u w:val="single"/>
          <w:rtl/>
        </w:rPr>
        <w:t xml:space="preserve">טענת מחדלי החקירה </w:t>
      </w:r>
    </w:p>
    <w:p w:rsidR="00EE7869" w:rsidRDefault="00EE7869" w:rsidP="00EE7869">
      <w:pPr>
        <w:spacing w:line="360" w:lineRule="auto"/>
        <w:ind w:left="720" w:hanging="720"/>
        <w:jc w:val="both"/>
        <w:rPr>
          <w:rFonts w:ascii="David" w:hAnsi="David"/>
          <w:b/>
          <w:bCs/>
          <w:u w:val="single"/>
          <w:rtl/>
        </w:rPr>
      </w:pPr>
    </w:p>
    <w:p w:rsidR="00EE7869" w:rsidRDefault="00C3669C" w:rsidP="008E00A5">
      <w:pPr>
        <w:spacing w:line="360" w:lineRule="auto"/>
        <w:ind w:left="720" w:hanging="720"/>
        <w:jc w:val="both"/>
        <w:rPr>
          <w:rFonts w:ascii="David" w:hAnsi="David"/>
          <w:b/>
          <w:bCs/>
          <w:u w:val="single"/>
          <w:rtl/>
        </w:rPr>
      </w:pPr>
      <w:r>
        <w:rPr>
          <w:rFonts w:ascii="David" w:hAnsi="David" w:hint="cs"/>
          <w:rtl/>
        </w:rPr>
        <w:t>29</w:t>
      </w:r>
      <w:r w:rsidR="00EE7869">
        <w:rPr>
          <w:rFonts w:ascii="David" w:hAnsi="David"/>
          <w:rtl/>
        </w:rPr>
        <w:t>.</w:t>
      </w:r>
      <w:r w:rsidR="00EE7869">
        <w:rPr>
          <w:rFonts w:ascii="David" w:hAnsi="David"/>
          <w:rtl/>
        </w:rPr>
        <w:tab/>
        <w:t>לטענת ההגנה כמפורט בסיכומיה, הנאשם ויתר העדים נחקרו באמצעות מתורגמן לא מקצועי אשר היה מעורב בפרשה וזאת בניגוד לפסיקה הנוהגת ובניגוד לסעיף 6ז (</w:t>
      </w:r>
      <w:r w:rsidR="008E00A5">
        <w:rPr>
          <w:rFonts w:ascii="David" w:hAnsi="David"/>
          <w:rtl/>
        </w:rPr>
        <w:t>בצירוף עם סעיף 1</w:t>
      </w:r>
      <w:r w:rsidR="008E00A5">
        <w:rPr>
          <w:rFonts w:ascii="David" w:hAnsi="David" w:hint="cs"/>
          <w:rtl/>
        </w:rPr>
        <w:t>ז</w:t>
      </w:r>
      <w:r w:rsidR="00EE7869">
        <w:rPr>
          <w:rFonts w:ascii="David" w:hAnsi="David"/>
          <w:rtl/>
        </w:rPr>
        <w:t xml:space="preserve">) לפקודת המטה הארצי מס' 14.01.021 מיום 26.11.2020 שעניינה </w:t>
      </w:r>
      <w:r w:rsidR="00EE7869">
        <w:rPr>
          <w:rFonts w:ascii="David" w:hAnsi="David"/>
          <w:b/>
          <w:bCs/>
          <w:rtl/>
        </w:rPr>
        <w:t>"הודעת חשודים ועדים –רישומן ותרגומן</w:t>
      </w:r>
      <w:r w:rsidR="00EE7869">
        <w:rPr>
          <w:rFonts w:ascii="David" w:hAnsi="David"/>
          <w:rtl/>
        </w:rPr>
        <w:t xml:space="preserve">" (להלן: </w:t>
      </w:r>
      <w:r w:rsidR="00EE7869">
        <w:rPr>
          <w:rFonts w:ascii="David" w:hAnsi="David"/>
          <w:b/>
          <w:bCs/>
          <w:rtl/>
        </w:rPr>
        <w:t>"פקודת המטה הארצי"</w:t>
      </w:r>
      <w:r w:rsidR="00EE7869">
        <w:rPr>
          <w:rFonts w:ascii="David" w:hAnsi="David"/>
          <w:rtl/>
        </w:rPr>
        <w:t>).</w:t>
      </w:r>
    </w:p>
    <w:p w:rsidR="00EE7869" w:rsidRDefault="00EE7869" w:rsidP="00EE7869">
      <w:pPr>
        <w:spacing w:line="360" w:lineRule="auto"/>
        <w:ind w:left="720" w:hanging="720"/>
        <w:jc w:val="both"/>
        <w:rPr>
          <w:rFonts w:ascii="David" w:hAnsi="David"/>
          <w:rtl/>
        </w:rPr>
      </w:pPr>
      <w:r>
        <w:rPr>
          <w:rFonts w:ascii="David" w:hAnsi="David"/>
          <w:rtl/>
        </w:rPr>
        <w:tab/>
      </w:r>
    </w:p>
    <w:p w:rsidR="00EE7869" w:rsidRDefault="00C3669C" w:rsidP="009A5A91">
      <w:pPr>
        <w:spacing w:line="360" w:lineRule="auto"/>
        <w:ind w:left="720" w:hanging="720"/>
        <w:jc w:val="both"/>
        <w:rPr>
          <w:rFonts w:ascii="David" w:hAnsi="David"/>
          <w:b/>
          <w:bCs/>
          <w:rtl/>
        </w:rPr>
      </w:pPr>
      <w:r>
        <w:rPr>
          <w:rFonts w:ascii="David" w:hAnsi="David" w:hint="cs"/>
          <w:rtl/>
        </w:rPr>
        <w:t>30</w:t>
      </w:r>
      <w:r w:rsidR="00EE7869">
        <w:rPr>
          <w:rFonts w:ascii="David" w:hAnsi="David"/>
          <w:rtl/>
        </w:rPr>
        <w:t>.</w:t>
      </w:r>
      <w:r w:rsidR="00EE7869">
        <w:rPr>
          <w:rFonts w:ascii="David" w:hAnsi="David"/>
          <w:rtl/>
        </w:rPr>
        <w:tab/>
        <w:t>לצורך ביסוס טענת הפגמים בתרגום במהלך החקירה,  הפנתה ההגנה  בסעיף 96 לסיכומיה לדברי ביהמ"ש העליון</w:t>
      </w:r>
      <w:r w:rsidR="00EE7869">
        <w:rPr>
          <w:rFonts w:ascii="David" w:hAnsi="David"/>
          <w:b/>
          <w:bCs/>
          <w:rtl/>
        </w:rPr>
        <w:t xml:space="preserve"> בע"פ 8868/11 אלכסיי בגימוב נ' מ"י </w:t>
      </w:r>
      <w:r w:rsidR="00EE7869">
        <w:rPr>
          <w:rFonts w:ascii="David" w:hAnsi="David"/>
          <w:rtl/>
        </w:rPr>
        <w:t xml:space="preserve">( 23.8.12)  כי:  </w:t>
      </w:r>
      <w:r w:rsidR="00EE7869">
        <w:rPr>
          <w:rFonts w:ascii="David" w:hAnsi="David"/>
          <w:b/>
          <w:bCs/>
          <w:rtl/>
        </w:rPr>
        <w:t xml:space="preserve">"בוודאי ובוודאי שלא ניתן לקבל מצב בו </w:t>
      </w:r>
      <w:r w:rsidR="00EE7869">
        <w:rPr>
          <w:rFonts w:ascii="David" w:hAnsi="David"/>
          <w:b/>
          <w:bCs/>
          <w:u w:val="single"/>
          <w:rtl/>
        </w:rPr>
        <w:t>המתרגם מעורב בעצמו בפרשה כמו בענייננו</w:t>
      </w:r>
      <w:r w:rsidR="00EE7869">
        <w:rPr>
          <w:rFonts w:ascii="David" w:hAnsi="David"/>
          <w:b/>
          <w:bCs/>
          <w:rtl/>
        </w:rPr>
        <w:t>" (</w:t>
      </w:r>
      <w:r w:rsidR="00EE7869">
        <w:rPr>
          <w:rFonts w:ascii="David" w:hAnsi="David"/>
          <w:rtl/>
        </w:rPr>
        <w:t>ההדגשה במקור בסיכומי  ההגנה</w:t>
      </w:r>
      <w:r w:rsidR="00EE7869">
        <w:rPr>
          <w:rFonts w:ascii="David" w:hAnsi="David"/>
          <w:b/>
          <w:bCs/>
          <w:rtl/>
        </w:rPr>
        <w:t>).</w:t>
      </w:r>
    </w:p>
    <w:p w:rsidR="00EE7869" w:rsidRDefault="00EE7869" w:rsidP="008E00A5">
      <w:pPr>
        <w:spacing w:line="360" w:lineRule="auto"/>
        <w:ind w:left="720" w:hanging="720"/>
        <w:jc w:val="both"/>
        <w:rPr>
          <w:rFonts w:ascii="David" w:hAnsi="David"/>
          <w:rtl/>
        </w:rPr>
      </w:pPr>
      <w:r>
        <w:rPr>
          <w:rFonts w:ascii="David" w:hAnsi="David"/>
          <w:b/>
          <w:bCs/>
          <w:rtl/>
        </w:rPr>
        <w:tab/>
      </w:r>
      <w:r w:rsidR="009A5A91">
        <w:rPr>
          <w:rFonts w:ascii="David" w:hAnsi="David"/>
          <w:rtl/>
        </w:rPr>
        <w:t>עיון</w:t>
      </w:r>
      <w:r>
        <w:rPr>
          <w:rFonts w:ascii="David" w:hAnsi="David"/>
          <w:rtl/>
        </w:rPr>
        <w:t xml:space="preserve"> בפסה"ד בעניין בגימוב לעיל מלמד כי ההשוואה למקרה שבפניי אינה במקום. בעוד שבעניין בגימוב התרגום במהלך החקירה נעשה באמצעות חברם של המתלוננים,</w:t>
      </w:r>
      <w:r w:rsidR="008E00A5">
        <w:rPr>
          <w:rFonts w:ascii="David" w:hAnsi="David" w:hint="cs"/>
          <w:rtl/>
        </w:rPr>
        <w:t xml:space="preserve"> </w:t>
      </w:r>
      <w:r>
        <w:rPr>
          <w:rFonts w:ascii="David" w:hAnsi="David"/>
          <w:rtl/>
        </w:rPr>
        <w:t xml:space="preserve">שאף היה מעורב בהעלמת הסכין באמצעותו נדקר הנאשם </w:t>
      </w:r>
      <w:r w:rsidR="00911D97">
        <w:rPr>
          <w:rFonts w:ascii="David" w:hAnsi="David" w:hint="cs"/>
          <w:rtl/>
        </w:rPr>
        <w:t xml:space="preserve"> שם </w:t>
      </w:r>
      <w:r w:rsidR="008E00A5">
        <w:rPr>
          <w:rFonts w:ascii="David" w:hAnsi="David" w:hint="cs"/>
          <w:rtl/>
        </w:rPr>
        <w:t>(</w:t>
      </w:r>
      <w:r>
        <w:rPr>
          <w:rFonts w:ascii="David" w:hAnsi="David"/>
          <w:rtl/>
        </w:rPr>
        <w:t>פסקה 25 לפסה"ד), הרי  שבענייננו מלאכת התרגום נעשתה על ידי חוקרי משטרה דוברי ה</w:t>
      </w:r>
      <w:r w:rsidR="008E00A5">
        <w:rPr>
          <w:rFonts w:ascii="David" w:hAnsi="David"/>
          <w:rtl/>
        </w:rPr>
        <w:t>שפה הרוסית, שבוודאי אינם בבחינת</w:t>
      </w:r>
      <w:r w:rsidR="008E00A5">
        <w:rPr>
          <w:rFonts w:ascii="David" w:hAnsi="David" w:hint="cs"/>
          <w:rtl/>
        </w:rPr>
        <w:t xml:space="preserve"> "</w:t>
      </w:r>
      <w:r>
        <w:rPr>
          <w:rFonts w:ascii="David" w:hAnsi="David"/>
          <w:rtl/>
        </w:rPr>
        <w:t xml:space="preserve">מעורבים" בפרשה. </w:t>
      </w:r>
    </w:p>
    <w:p w:rsidR="00EE7869" w:rsidRDefault="00EE7869" w:rsidP="00EE7869">
      <w:pPr>
        <w:spacing w:line="360" w:lineRule="auto"/>
        <w:ind w:left="720" w:hanging="720"/>
        <w:jc w:val="both"/>
        <w:rPr>
          <w:rFonts w:ascii="David" w:hAnsi="David"/>
          <w:rtl/>
        </w:rPr>
      </w:pPr>
    </w:p>
    <w:p w:rsidR="00EE7869" w:rsidRDefault="00C3669C" w:rsidP="00EE7869">
      <w:pPr>
        <w:spacing w:line="360" w:lineRule="auto"/>
        <w:ind w:left="720" w:hanging="720"/>
        <w:jc w:val="both"/>
        <w:rPr>
          <w:rFonts w:ascii="David" w:hAnsi="David"/>
          <w:rtl/>
        </w:rPr>
      </w:pPr>
      <w:r>
        <w:rPr>
          <w:rFonts w:ascii="David" w:hAnsi="David" w:hint="cs"/>
          <w:rtl/>
        </w:rPr>
        <w:t>31</w:t>
      </w:r>
      <w:r w:rsidR="00EE7869">
        <w:rPr>
          <w:rFonts w:ascii="David" w:hAnsi="David"/>
          <w:rtl/>
        </w:rPr>
        <w:t>.</w:t>
      </w:r>
      <w:r w:rsidR="00EE7869">
        <w:rPr>
          <w:rFonts w:ascii="David" w:hAnsi="David"/>
          <w:rtl/>
        </w:rPr>
        <w:tab/>
        <w:t xml:space="preserve">כמו כן אינני מקבל את טענת ההגנה כי בשל מחדלי החקירה, לא ניתן להסתמך על דברים שנאמרו על ידי העד פיאנזין בתחנת המשטרה (סעיף 94 לסיכומי ההגנה). </w:t>
      </w:r>
    </w:p>
    <w:p w:rsidR="00EE7869" w:rsidRDefault="00EE7869" w:rsidP="009E0FE7">
      <w:pPr>
        <w:spacing w:line="360" w:lineRule="auto"/>
        <w:ind w:left="720" w:hanging="720"/>
        <w:jc w:val="both"/>
        <w:rPr>
          <w:rFonts w:ascii="David" w:hAnsi="David"/>
          <w:rtl/>
        </w:rPr>
      </w:pPr>
      <w:r>
        <w:rPr>
          <w:rFonts w:ascii="David" w:hAnsi="David"/>
          <w:b/>
          <w:bCs/>
          <w:rtl/>
        </w:rPr>
        <w:tab/>
      </w:r>
      <w:r>
        <w:rPr>
          <w:rFonts w:ascii="David" w:hAnsi="David"/>
          <w:rtl/>
        </w:rPr>
        <w:t xml:space="preserve">בפרשת בגימוב לעיל הפנה ביהמ"ש לדבריו של כבוד השופט ג'ובראן בע"פ </w:t>
      </w:r>
      <w:r>
        <w:rPr>
          <w:rFonts w:ascii="David" w:hAnsi="David"/>
          <w:b/>
          <w:bCs/>
          <w:rtl/>
        </w:rPr>
        <w:t>3250/10 מדינת ישראל נ' פלוני (12.1.12)</w:t>
      </w:r>
      <w:r w:rsidR="009E0FE7">
        <w:rPr>
          <w:rFonts w:ascii="David" w:hAnsi="David"/>
          <w:rtl/>
        </w:rPr>
        <w:t xml:space="preserve"> בהתייחס לחקירתם של עדים (</w:t>
      </w:r>
      <w:r>
        <w:rPr>
          <w:rFonts w:ascii="David" w:hAnsi="David"/>
          <w:rtl/>
        </w:rPr>
        <w:t xml:space="preserve">שאינם חשודים או נאשמים) במשטרה לפיהם </w:t>
      </w:r>
      <w:r>
        <w:rPr>
          <w:rFonts w:ascii="David" w:hAnsi="David"/>
          <w:b/>
          <w:bCs/>
          <w:rtl/>
        </w:rPr>
        <w:t xml:space="preserve"> "יש מקום כי רשויות האכיפה והמשטרה תהיינה ערוכות לחקירה בעזרת חוקרים מומחים ומיומנים שהם דוברי אותה השפה של הנחקר".</w:t>
      </w:r>
      <w:r>
        <w:rPr>
          <w:rFonts w:ascii="David" w:hAnsi="David"/>
          <w:rtl/>
        </w:rPr>
        <w:tab/>
      </w:r>
    </w:p>
    <w:p w:rsidR="009E0FE7" w:rsidRDefault="00EE7869" w:rsidP="009E0FE7">
      <w:pPr>
        <w:spacing w:line="360" w:lineRule="auto"/>
        <w:ind w:left="720"/>
        <w:jc w:val="both"/>
        <w:rPr>
          <w:rFonts w:ascii="David" w:hAnsi="David"/>
          <w:b/>
          <w:bCs/>
          <w:rtl/>
        </w:rPr>
      </w:pPr>
      <w:r>
        <w:rPr>
          <w:rFonts w:ascii="David" w:hAnsi="David"/>
          <w:rtl/>
        </w:rPr>
        <w:t>כמצוות הפסיקה, אין חולק כי במקרה שבענייננו נחקר העד יבגני פיאנזין בשפה הרוסית על ידי החוקר רס"ב אלכסנדר שניטמן (</w:t>
      </w:r>
      <w:r w:rsidR="009E0FE7">
        <w:rPr>
          <w:rFonts w:ascii="David" w:hAnsi="David"/>
          <w:rtl/>
        </w:rPr>
        <w:t>ר' עמ' 146 ש' 26</w:t>
      </w:r>
      <w:r>
        <w:rPr>
          <w:rFonts w:ascii="David" w:hAnsi="David"/>
          <w:rtl/>
        </w:rPr>
        <w:t>) אשר העיד כי רמת שליטתו בשפה הרוסית היא "</w:t>
      </w:r>
      <w:r>
        <w:rPr>
          <w:rFonts w:ascii="David" w:hAnsi="David"/>
          <w:b/>
          <w:bCs/>
          <w:rtl/>
        </w:rPr>
        <w:t>כשפת אם</w:t>
      </w:r>
      <w:r>
        <w:rPr>
          <w:rFonts w:ascii="David" w:hAnsi="David"/>
          <w:rtl/>
        </w:rPr>
        <w:t>" (ר' עמ' 215 ש' 13), וכי "</w:t>
      </w:r>
      <w:r>
        <w:rPr>
          <w:rFonts w:ascii="David" w:hAnsi="David"/>
          <w:b/>
          <w:bCs/>
          <w:rtl/>
        </w:rPr>
        <w:t>... גביתי את עדותו של העד בשפה הרוסית, והיא תורגמה על ידי, רשמתי את כל מה שהוא מסר והוא ענה על שאלות שלי"</w:t>
      </w:r>
    </w:p>
    <w:p w:rsidR="00EE7869" w:rsidRDefault="00EE7869" w:rsidP="009E0FE7">
      <w:pPr>
        <w:spacing w:line="360" w:lineRule="auto"/>
        <w:ind w:left="720"/>
        <w:jc w:val="both"/>
        <w:rPr>
          <w:rFonts w:ascii="David" w:hAnsi="David"/>
        </w:rPr>
      </w:pPr>
      <w:r>
        <w:rPr>
          <w:rFonts w:ascii="David" w:hAnsi="David"/>
          <w:rtl/>
        </w:rPr>
        <w:t xml:space="preserve">(ר' עמ' 217 ש' 17-19). </w:t>
      </w:r>
    </w:p>
    <w:p w:rsidR="00EE7869" w:rsidRDefault="00EE7869" w:rsidP="00B32555">
      <w:pPr>
        <w:spacing w:line="360" w:lineRule="auto"/>
        <w:ind w:left="720" w:hanging="720"/>
        <w:jc w:val="both"/>
        <w:rPr>
          <w:rFonts w:ascii="David" w:hAnsi="David"/>
          <w:rtl/>
        </w:rPr>
      </w:pPr>
      <w:r>
        <w:rPr>
          <w:rFonts w:ascii="David" w:hAnsi="David"/>
          <w:rtl/>
        </w:rPr>
        <w:t xml:space="preserve"> </w:t>
      </w:r>
      <w:r>
        <w:rPr>
          <w:rFonts w:ascii="David" w:hAnsi="David"/>
          <w:rtl/>
        </w:rPr>
        <w:tab/>
        <w:t xml:space="preserve">אומנם  עדותו של העד פיאנזין נכתבה בשפה העברית, אך נמצא במהלך חקירתו הנגדית כי העד שולט גם בשפה העברית כך שהוא היה מסוגל לקרוא את העדות שנגבתה ממנו וכי העדות הוקראה לו בשפה הרוסית טרם חתם עליה (ר' עמ' 147 ש' 7-16). </w:t>
      </w:r>
      <w:r>
        <w:rPr>
          <w:rFonts w:ascii="David" w:hAnsi="David"/>
          <w:rtl/>
        </w:rPr>
        <w:tab/>
      </w:r>
      <w:r>
        <w:rPr>
          <w:rFonts w:ascii="David" w:hAnsi="David"/>
          <w:rtl/>
        </w:rPr>
        <w:tab/>
      </w:r>
    </w:p>
    <w:p w:rsidR="00EE7869" w:rsidRDefault="00EE7869" w:rsidP="00EE7869">
      <w:pPr>
        <w:spacing w:line="360" w:lineRule="auto"/>
        <w:ind w:left="720" w:hanging="720"/>
        <w:jc w:val="both"/>
        <w:rPr>
          <w:rFonts w:ascii="David" w:hAnsi="David"/>
          <w:rtl/>
        </w:rPr>
      </w:pPr>
      <w:r>
        <w:rPr>
          <w:rFonts w:ascii="David" w:hAnsi="David"/>
          <w:rtl/>
        </w:rPr>
        <w:tab/>
        <w:t xml:space="preserve">בנסיבות לעיל, ספק אם חל בענייננו סעיף 3 ג  סיפא לפקודת המטה הכללי, וכפועל יוצא מכך ספק האם הפניית ההגנה לסעיף 6 לפקודה רלוונטית. </w:t>
      </w:r>
    </w:p>
    <w:p w:rsidR="00EE7869" w:rsidRDefault="00EE7869" w:rsidP="00EE7869">
      <w:pPr>
        <w:spacing w:line="360" w:lineRule="auto"/>
        <w:ind w:left="720" w:hanging="720"/>
        <w:jc w:val="both"/>
        <w:rPr>
          <w:rFonts w:ascii="David" w:hAnsi="David"/>
          <w:rtl/>
        </w:rPr>
      </w:pPr>
      <w:r>
        <w:rPr>
          <w:rFonts w:ascii="David" w:hAnsi="David"/>
          <w:rtl/>
        </w:rPr>
        <w:tab/>
        <w:t xml:space="preserve">יתרה מכך, גם אם נפל פגם מסויים בגביית עדותו של העד פיאנזין במשטרה, הרי שאין משמעות הדבר כי לא ניתן להסתמך על דברים שאמר העד בחקירתו. במהלך עדותו בבית המשפט לא סתר העד את דבריו במשטרה שנמסרו שעות מספר לאחר האירוע, ועדותו ביחס לסכין עולה בקנה אחד עם עדותו של העד רומן שילסולמן. </w:t>
      </w:r>
    </w:p>
    <w:p w:rsidR="00EE7869" w:rsidRDefault="00EE7869" w:rsidP="00EE7869">
      <w:pPr>
        <w:spacing w:line="360" w:lineRule="auto"/>
        <w:ind w:left="720" w:hanging="720"/>
        <w:jc w:val="both"/>
        <w:rPr>
          <w:rFonts w:ascii="David" w:hAnsi="David"/>
          <w:rtl/>
        </w:rPr>
      </w:pPr>
    </w:p>
    <w:p w:rsidR="00EE7869" w:rsidRDefault="00C3669C" w:rsidP="00EE7869">
      <w:pPr>
        <w:spacing w:line="360" w:lineRule="auto"/>
        <w:ind w:left="720" w:hanging="720"/>
        <w:jc w:val="both"/>
        <w:rPr>
          <w:rFonts w:ascii="David" w:hAnsi="David"/>
          <w:rtl/>
        </w:rPr>
      </w:pPr>
      <w:r>
        <w:rPr>
          <w:rFonts w:ascii="David" w:hAnsi="David" w:hint="cs"/>
          <w:rtl/>
        </w:rPr>
        <w:t>32</w:t>
      </w:r>
      <w:r w:rsidR="00EE7869">
        <w:rPr>
          <w:rFonts w:ascii="David" w:hAnsi="David"/>
          <w:rtl/>
        </w:rPr>
        <w:t>.</w:t>
      </w:r>
      <w:r w:rsidR="00EE7869">
        <w:rPr>
          <w:rFonts w:ascii="David" w:hAnsi="David"/>
          <w:rtl/>
        </w:rPr>
        <w:tab/>
        <w:t xml:space="preserve">צודק הסניגור המלומד בטענתו כי נפלו תקלות במלאכת תיעוד הודעותיו של הנאשם בתחנת המשטרה וחזקה על המאשימה כי תפעל יחדיו עם תחנת המשטרה הרלוונטית למניעת הישנות תקלות דומות. </w:t>
      </w:r>
    </w:p>
    <w:p w:rsidR="00EE7869" w:rsidRDefault="00EE7869" w:rsidP="009E0FE7">
      <w:pPr>
        <w:spacing w:line="360" w:lineRule="auto"/>
        <w:ind w:left="720"/>
        <w:jc w:val="both"/>
        <w:rPr>
          <w:rFonts w:ascii="David" w:hAnsi="David"/>
          <w:rtl/>
        </w:rPr>
      </w:pPr>
      <w:r>
        <w:rPr>
          <w:rFonts w:ascii="David" w:hAnsi="David"/>
          <w:rtl/>
        </w:rPr>
        <w:t>לצד זאת מצאתי כי  זכותו של הנאשם להליך הוגן לא נפגעה. לעניין זה אוס</w:t>
      </w:r>
      <w:r w:rsidR="009E0FE7">
        <w:rPr>
          <w:rFonts w:ascii="David" w:hAnsi="David"/>
          <w:rtl/>
        </w:rPr>
        <w:t>יף כי הודעת הנאשם מיום 9.4.11 (</w:t>
      </w:r>
      <w:r>
        <w:rPr>
          <w:rFonts w:ascii="David" w:hAnsi="David"/>
          <w:rtl/>
        </w:rPr>
        <w:t>ת/14) אשר התקבלה בהתאם להחלטתי מיום 13.6.23, אינה שונה במה</w:t>
      </w:r>
      <w:r w:rsidR="009E0FE7">
        <w:rPr>
          <w:rFonts w:ascii="David" w:hAnsi="David"/>
          <w:rtl/>
        </w:rPr>
        <w:t>ותה מהודעת הנאשם מיום 11.4.22 (</w:t>
      </w:r>
      <w:r>
        <w:rPr>
          <w:rFonts w:ascii="David" w:hAnsi="David"/>
          <w:rtl/>
        </w:rPr>
        <w:t xml:space="preserve">ת/4) ואשר התקבלה לתיק בהסכמת ההגנה. יתרה מזו, במהלך עדותו בביהמ"ש הנאשם לא טען, בוודאי שלא ביחס לאמירה ספציפית, כי האמור בהודעותיו במשטרה אינו משקף את הדברים שאמר בחקירותיו. </w:t>
      </w:r>
    </w:p>
    <w:p w:rsidR="00EE7869" w:rsidRDefault="00EE7869" w:rsidP="00EE7869">
      <w:pPr>
        <w:spacing w:line="360" w:lineRule="auto"/>
        <w:ind w:left="720" w:hanging="720"/>
        <w:jc w:val="both"/>
        <w:rPr>
          <w:rFonts w:ascii="David" w:hAnsi="David"/>
          <w:rtl/>
        </w:rPr>
      </w:pPr>
    </w:p>
    <w:p w:rsidR="00EE7869" w:rsidRDefault="00EE7869" w:rsidP="00EE7869">
      <w:pPr>
        <w:spacing w:line="360" w:lineRule="auto"/>
        <w:ind w:left="720" w:hanging="720"/>
        <w:jc w:val="both"/>
        <w:rPr>
          <w:rFonts w:ascii="David" w:hAnsi="David"/>
          <w:b/>
          <w:bCs/>
          <w:u w:val="single"/>
          <w:rtl/>
        </w:rPr>
      </w:pPr>
      <w:r>
        <w:rPr>
          <w:rFonts w:ascii="David" w:hAnsi="David"/>
          <w:b/>
          <w:bCs/>
          <w:u w:val="single"/>
          <w:rtl/>
        </w:rPr>
        <w:t>סוף דבר</w:t>
      </w:r>
    </w:p>
    <w:p w:rsidR="00EE7869" w:rsidRDefault="00EE7869" w:rsidP="00EE7869">
      <w:pPr>
        <w:spacing w:line="360" w:lineRule="auto"/>
        <w:ind w:left="720" w:hanging="720"/>
        <w:jc w:val="both"/>
        <w:rPr>
          <w:rFonts w:ascii="David" w:hAnsi="David"/>
          <w:b/>
          <w:bCs/>
          <w:u w:val="single"/>
          <w:rtl/>
        </w:rPr>
      </w:pPr>
    </w:p>
    <w:p w:rsidR="00EE7869" w:rsidRDefault="00C3669C" w:rsidP="00EE7869">
      <w:pPr>
        <w:spacing w:line="360" w:lineRule="auto"/>
        <w:ind w:left="720" w:hanging="720"/>
        <w:jc w:val="both"/>
        <w:rPr>
          <w:rFonts w:ascii="David" w:hAnsi="David"/>
          <w:rtl/>
        </w:rPr>
      </w:pPr>
      <w:r>
        <w:rPr>
          <w:rFonts w:ascii="David" w:hAnsi="David" w:hint="cs"/>
          <w:rtl/>
        </w:rPr>
        <w:t>33</w:t>
      </w:r>
      <w:r w:rsidR="00EE7869">
        <w:rPr>
          <w:rFonts w:ascii="David" w:hAnsi="David"/>
          <w:rtl/>
        </w:rPr>
        <w:t>.</w:t>
      </w:r>
      <w:r w:rsidR="00EE7869">
        <w:rPr>
          <w:rFonts w:ascii="David" w:hAnsi="David"/>
          <w:rtl/>
        </w:rPr>
        <w:tab/>
        <w:t>מכל הקובץ לעיל, התוצאה היא שאני מרשיע את הנאשם בעבירה של חבלה חמורה בנסיבות מחמירות- עבירה לפי סעיף 333 בצירוף סעיף 335 (א) (1) לחוק העונשין התשל"ז -1977.</w:t>
      </w:r>
    </w:p>
    <w:p w:rsidR="00870F64" w:rsidRDefault="00870F64">
      <w:pPr>
        <w:rPr>
          <w:rFonts w:ascii="David" w:hAnsi="David"/>
          <w:sz w:val="26"/>
          <w:szCs w:val="26"/>
          <w:rtl/>
        </w:rPr>
      </w:pPr>
    </w:p>
    <w:p w:rsidR="00F1713E" w:rsidRPr="00587C90" w:rsidRDefault="00F1713E">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כ"ז כסלו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10 דצמבר 2023</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280390477"/>
        </w:sdtPr>
        <w:sdtEndPr/>
        <w:sdtContent>
          <w:r w:rsidR="00302C90">
            <w:rPr>
              <w:noProof/>
            </w:rPr>
            <w:drawing>
              <wp:inline distT="0" distB="0" distL="0" distR="0" wp14:editId="50D07946">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66900" cy="1247775"/>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default"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067" w:rsidRDefault="00494067">
      <w:r>
        <w:separator/>
      </w:r>
    </w:p>
  </w:endnote>
  <w:endnote w:type="continuationSeparator" w:id="0">
    <w:p w:rsidR="00494067" w:rsidRDefault="0049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494067">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494067">
      <w:rPr>
        <w:noProof/>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067" w:rsidRDefault="00494067">
      <w:r>
        <w:separator/>
      </w:r>
    </w:p>
  </w:footnote>
  <w:footnote w:type="continuationSeparator" w:id="0">
    <w:p w:rsidR="00494067" w:rsidRDefault="0049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494067">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28791-04-22</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רודקוב</w:t>
              </w:r>
            </w:sdtContent>
          </w:sdt>
        </w:p>
        <w:p w:rsidR="00870F64" w:rsidRDefault="00870F64">
          <w:pPr>
            <w:pStyle w:val="a3"/>
            <w:rPr>
              <w:rtl/>
            </w:rPr>
          </w:pPr>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078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07831&amp;lt;/CaseID&amp;gt;_x000d__x000a_        &amp;lt;CaseMonth&amp;gt;4&amp;lt;/CaseMonth&amp;gt;_x000d__x000a_        &amp;lt;CaseYear&amp;gt;2022&amp;lt;/CaseYear&amp;gt;_x000d__x000a_        &amp;lt;CaseNumber&amp;gt;28791&amp;lt;/CaseNumber&amp;gt;_x000d__x000a_        &amp;lt;NumeratorGroupID&amp;gt;1&amp;lt;/NumeratorGroupID&amp;gt;_x000d__x000a_        &amp;lt;CaseName&amp;gt;מדינת ישראל נ&amp;#39; רודקוב&amp;lt;/CaseName&amp;gt;_x000d__x000a_        &amp;lt;CourtID&amp;gt;16&amp;lt;/CourtID&amp;gt;_x000d__x000a_        &amp;lt;CaseTypeID&amp;gt;10048&amp;lt;/CaseTypeID&amp;gt;_x000d__x000a_        &amp;lt;CaseJudgeName&amp;gt;אלון גביז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8791-04-22&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2-04-14T08:54: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טרם הומצא פרטי חשבון של ע&amp;quot;ת אירנה זלוזנה _x000d__x000a_אשר העידה בתאריך 26.3.2023_x000d__x000a_אישור מסירה בסטטוס &amp;quot;לידי הנמען הרשום &amp;quot;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07831&amp;lt;/CaseID&amp;gt;_x000d__x000a_        &amp;lt;CaseMonth&amp;gt;4&amp;lt;/CaseMonth&amp;gt;_x000d__x000a_        &amp;lt;CaseYear&amp;gt;2022&amp;lt;/CaseYear&amp;gt;_x000d__x000a_        &amp;lt;CaseNumber&amp;gt;28791&amp;lt;/CaseNumber&amp;gt;_x000d__x000a_        &amp;lt;NumeratorGroupID&amp;gt;1&amp;lt;/NumeratorGroupID&amp;gt;_x000d__x000a_        &amp;lt;CaseName&amp;gt;מדינת ישראל נ&amp;#39; רודקוב&amp;lt;/CaseName&amp;gt;_x000d__x000a_        &amp;lt;CourtID&amp;gt;16&amp;lt;/CourtID&amp;gt;_x000d__x000a_        &amp;lt;CaseTypeID&amp;gt;10048&amp;lt;/CaseTypeID&amp;gt;_x000d__x000a_        &amp;lt;CaseJudgeName&amp;gt;אלון גביז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8791-04-22&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258&amp;lt;/CaseNextDeterminingTask&amp;gt;_x000d__x000a_        &amp;lt;CaseOpenDate&amp;gt;2022-04-14T08:54: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טרם הומצא פרטי חשבון של ע&amp;quot;ת אירנה זלוזנה _x000d__x000a_אשר העידה בתאריך 26.3.2023_x000d__x000a_אישור מסירה בסטטוס &amp;quot;לידי הנמען הרשום &amp;quot;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85832&amp;lt;/DecisionID&amp;gt;_x000d__x000a_        &amp;lt;DecisionName&amp;gt;הכרעת דין  שניתנה ע&amp;quot;י  אלון גביזון&amp;lt;/DecisionName&amp;gt;_x000d__x000a_        &amp;lt;DecisionStatusID&amp;gt;1&amp;lt;/DecisionStatusID&amp;gt;_x000d__x000a_        &amp;lt;DecisionStatusChangeDate&amp;gt;2023-12-10T13:21:03.743+02:00&amp;lt;/DecisionStatusChangeDate&amp;gt;_x000d__x000a_        &amp;lt;DecisionSignatureDate&amp;gt;2023-12-10T13:21:01.717+02:00&amp;lt;/DecisionSignatureDate&amp;gt;_x000d__x000a_        &amp;lt;DecisionSignatureUserID&amp;gt;027983048@GOV.IL&amp;lt;/DecisionSignatureUserID&amp;gt;_x000d__x000a_        &amp;lt;DecisionCreateDate&amp;gt;2023-12-10T10:43:18.373+02:00&amp;lt;/DecisionCreateDate&amp;gt;_x000d__x000a_        &amp;lt;DecisionChangeDate&amp;gt;2023-12-10T13:21:03.817+02:00&amp;lt;/DecisionChangeDate&amp;gt;_x000d__x000a_        &amp;lt;DecisionChangeUserID&amp;gt;0289661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803199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8304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6141@GOV.IL&amp;lt;/DecisionCreationUserID&amp;gt;_x000d__x000a_        &amp;lt;DecisionDisplayName&amp;gt;הכרעת דין  שניתנה ע&amp;quot;י  אלון גביזון&amp;lt;/DecisionDisplayName&amp;gt;_x000d__x000a_        &amp;lt;IsScanned&amp;gt;false&amp;lt;/IsScanned&amp;gt;_x000d__x000a_        &amp;lt;DecisionSignatureUserName&amp;gt;אלון גביז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48485832&amp;lt;/DecisionID&amp;gt;_x000d__x000a_        &amp;lt;CaseID&amp;gt;79207831&amp;lt;/CaseID&amp;gt;_x000d__x000a_        &amp;lt;IsOriginal&amp;gt;true&amp;lt;/IsOriginal&amp;gt;_x000d__x000a_        &amp;lt;IsDeleted&amp;gt;false&amp;lt;/IsDeleted&amp;gt;_x000d__x000a_        &amp;lt;CaseName&amp;gt;מדינת ישראל נ&amp;#39; רודקוב&amp;lt;/CaseName&amp;gt;_x000d__x000a_        &amp;lt;CaseDisplayIdentifier&amp;gt;28791-04-22 ת&amp;quot;פ&amp;lt;/CaseDisplayIdentifier&amp;gt;_x000d__x000a_      &amp;lt;/dt_DecisionCase&amp;gt;_x000d__x000a_    &amp;lt;/DecisionDS&amp;gt;_x000d__x000a_  &amp;lt;/diffgr:diffgram&amp;gt;_x000d__x000a_&amp;lt;/DecisionDS&amp;gt;"/>
    <w:docVar w:name="DecisionID" w:val="148485832"/>
    <w:docVar w:name="WordClientAssemblyName" w:val="NGCS.Decision.ClientWordBL"/>
    <w:docVar w:name="WordClientClassName" w:val="NGCS.Decision.ClientWordBL.DecisionClient"/>
  </w:docVars>
  <w:rsids>
    <w:rsidRoot w:val="00870F64"/>
    <w:rsid w:val="0006529D"/>
    <w:rsid w:val="00097BFF"/>
    <w:rsid w:val="000D676C"/>
    <w:rsid w:val="000E5776"/>
    <w:rsid w:val="00114C70"/>
    <w:rsid w:val="00126A0C"/>
    <w:rsid w:val="00154FCA"/>
    <w:rsid w:val="0016006A"/>
    <w:rsid w:val="00177D00"/>
    <w:rsid w:val="00186BCB"/>
    <w:rsid w:val="002039F6"/>
    <w:rsid w:val="0020644E"/>
    <w:rsid w:val="00242FD3"/>
    <w:rsid w:val="00264BDA"/>
    <w:rsid w:val="002A2DF3"/>
    <w:rsid w:val="002D68F5"/>
    <w:rsid w:val="002E773A"/>
    <w:rsid w:val="002E7C14"/>
    <w:rsid w:val="00302C90"/>
    <w:rsid w:val="00305BA5"/>
    <w:rsid w:val="00334A35"/>
    <w:rsid w:val="00337463"/>
    <w:rsid w:val="003976EC"/>
    <w:rsid w:val="003A027F"/>
    <w:rsid w:val="003C74D6"/>
    <w:rsid w:val="004334DF"/>
    <w:rsid w:val="00456A55"/>
    <w:rsid w:val="00470CB7"/>
    <w:rsid w:val="00474EEB"/>
    <w:rsid w:val="00494067"/>
    <w:rsid w:val="004F2B64"/>
    <w:rsid w:val="00500DDB"/>
    <w:rsid w:val="0051562C"/>
    <w:rsid w:val="0052227C"/>
    <w:rsid w:val="00586260"/>
    <w:rsid w:val="00587C90"/>
    <w:rsid w:val="005C3A98"/>
    <w:rsid w:val="005C6116"/>
    <w:rsid w:val="005D2841"/>
    <w:rsid w:val="005E0529"/>
    <w:rsid w:val="0064690D"/>
    <w:rsid w:val="006958A7"/>
    <w:rsid w:val="006F0E62"/>
    <w:rsid w:val="006F6206"/>
    <w:rsid w:val="00702933"/>
    <w:rsid w:val="00707BCB"/>
    <w:rsid w:val="00715B13"/>
    <w:rsid w:val="0074727E"/>
    <w:rsid w:val="007B34BE"/>
    <w:rsid w:val="007C40F8"/>
    <w:rsid w:val="007C7991"/>
    <w:rsid w:val="007F2E63"/>
    <w:rsid w:val="008102EF"/>
    <w:rsid w:val="00810372"/>
    <w:rsid w:val="008120A4"/>
    <w:rsid w:val="00834D17"/>
    <w:rsid w:val="00843239"/>
    <w:rsid w:val="00854C81"/>
    <w:rsid w:val="00867234"/>
    <w:rsid w:val="00870F64"/>
    <w:rsid w:val="008B43F5"/>
    <w:rsid w:val="008B4AFF"/>
    <w:rsid w:val="008D35B7"/>
    <w:rsid w:val="008D38B7"/>
    <w:rsid w:val="008E00A5"/>
    <w:rsid w:val="008F25CE"/>
    <w:rsid w:val="00906D9D"/>
    <w:rsid w:val="009074A1"/>
    <w:rsid w:val="00911D97"/>
    <w:rsid w:val="00920D86"/>
    <w:rsid w:val="009251A2"/>
    <w:rsid w:val="00942F8C"/>
    <w:rsid w:val="009A5A91"/>
    <w:rsid w:val="009A5BC9"/>
    <w:rsid w:val="009A6D55"/>
    <w:rsid w:val="009D6D62"/>
    <w:rsid w:val="009E0FE7"/>
    <w:rsid w:val="00A27B94"/>
    <w:rsid w:val="00A5454F"/>
    <w:rsid w:val="00A5643C"/>
    <w:rsid w:val="00AC3351"/>
    <w:rsid w:val="00AC73B4"/>
    <w:rsid w:val="00AE60C8"/>
    <w:rsid w:val="00AF0047"/>
    <w:rsid w:val="00B20868"/>
    <w:rsid w:val="00B32555"/>
    <w:rsid w:val="00B949CB"/>
    <w:rsid w:val="00BF0FEA"/>
    <w:rsid w:val="00C12D2C"/>
    <w:rsid w:val="00C3669C"/>
    <w:rsid w:val="00C842D3"/>
    <w:rsid w:val="00C863A8"/>
    <w:rsid w:val="00CC3C76"/>
    <w:rsid w:val="00CE16EA"/>
    <w:rsid w:val="00CF4F64"/>
    <w:rsid w:val="00D2323F"/>
    <w:rsid w:val="00D56A12"/>
    <w:rsid w:val="00D63841"/>
    <w:rsid w:val="00DC081D"/>
    <w:rsid w:val="00DF5EF2"/>
    <w:rsid w:val="00E20138"/>
    <w:rsid w:val="00E7683C"/>
    <w:rsid w:val="00E92233"/>
    <w:rsid w:val="00EA352A"/>
    <w:rsid w:val="00EB19E0"/>
    <w:rsid w:val="00EB369E"/>
    <w:rsid w:val="00EE1AFA"/>
    <w:rsid w:val="00EE7869"/>
    <w:rsid w:val="00F1713E"/>
    <w:rsid w:val="00F231CF"/>
    <w:rsid w:val="00F37ABB"/>
    <w:rsid w:val="00F4466C"/>
    <w:rsid w:val="00F4577C"/>
    <w:rsid w:val="00F470DB"/>
    <w:rsid w:val="00F61193"/>
    <w:rsid w:val="00F718AF"/>
    <w:rsid w:val="00FE709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41689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854CBE" w:rsidP="00854CBE">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2B197C"/>
    <w:rsid w:val="00303435"/>
    <w:rsid w:val="0041073D"/>
    <w:rsid w:val="006E0C75"/>
    <w:rsid w:val="006F21A2"/>
    <w:rsid w:val="00791384"/>
    <w:rsid w:val="00845549"/>
    <w:rsid w:val="00854CBE"/>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4CBE"/>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854CBE"/>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אלכסנדר זובקוב</FullName>
        <FirstName>אלכסנדר</FirstName>
        <LastName>זובקוב</LastName>
        <PartyPropertyName/>
        <AuthenticationTypeAndNumber>ת"ז 324510247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239977280</CasePartyID>
        <PartyTypeID>3</PartyTypeID>
        <ActivityStatusID>1</ActivityStatusID>
        <LegalEntityID>75509002</LegalEntityID>
        <CaseLegalEntityID>119445747</CaseLegalEntityID>
        <AssistantRoleID>12</AssistantRoleID>
        <AuthenticationTypeID>1</AuthenticationTypeID>
        <AuthenticationTypeName>ת"ז</AuthenticationTypeName>
        <LegalEntityNumber>324510247</LegalEntityNumber>
        <IsMainPartyType>true</IsMainPartyType>
        <CaseDisplayIdentifier>28791-04-22</CaseDisplayIdentifier>
        <CaseTypeID>10048</CaseTypeID>
        <CaseTypeName>תיק פלילי (ת"פ)</CaseTypeName>
        <CaseName>מדינת ישראל נ' רודקוב</CaseName>
        <FullAddress>ניצנים 1/4 אשקלון </FullAddress>
        <MotionID>0</MotionID>
        <CasePleaID>0</CasePleaID>
        <BirthDate>1987-05-08T00:00:00+03:00</BirthDate>
        <FatherName>סרגיי</FatherName>
        <LinkedCaseID>0</LinkedCaseID>
        <PartyID>1</PartyID>
        <CasePartyCategoryID>2</CasePartyCategoryID>
        <LegalEntityAddressID>86414251</LegalEntityAddressID>
        <PleaTypeID>8</PleaTypeID>
        <GroupPartyAlias/>
        <IsConverted>false</IsConverted>
        <LegalEntityRegisteredNameID>6138095</LegalEntityRegisteredNameID>
        <LegalEntityNameID>92986016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 זובקוב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240238333</CasePartyID>
        <PartyTypeID>3</PartyTypeID>
        <ActivityStatusID>1</ActivityStatusID>
        <LegalEntityID>45219378</LegalEntityID>
        <CaseLegalEntityID>119529680</CaseLegalEntityID>
        <AssistantRoleID>26</AssistantRoleID>
        <AuthenticationTypeID>13</AuthenticationTypeID>
        <AuthenticationTypeName>משרדי ממשלה</AuthenticationTypeName>
        <LegalEntityNumber>570000917</LegalEntityNumber>
        <IsMainPartyType>true</IsMainPartyType>
        <CaseDisplayIdentifier>28791-04-22</CaseDisplayIdentifier>
        <CaseTypeID>10048</CaseTypeID>
        <CaseTypeName>תיק פלילי (ת"פ)</CaseTypeName>
        <CaseName>מדינת ישראל נ' רודקוב</CaseName>
        <FullAddress>קרן היסוד 4 באר שבע קומה 6 בניין קרסו</FullAddress>
        <EmailAddress>Sanegoria_Bs_minoim@justice.gov.il</EmailAddress>
        <MotionID>0</MotionID>
        <CasePleaID>0</CasePleaID>
        <LinkedCaseID>0</LinkedCaseID>
        <PartyID>1</PartyID>
        <CasePartyCategoryID>2</CasePartyCategoryID>
        <LegalEntityAddressID>77779008</LegalEntityAddressID>
        <LegalEntityEmailAddressID>68042846</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2</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247416775</CasePartyID>
        <PartyTypeID>2</PartyTypeID>
        <ActivityStatusID>1</ActivityStatusID>
        <PartyAliasID>30</PartyAliasID>
        <PartyAliasName>בא כוח מאשימה</PartyAliasName>
        <LegalEntityID>404183</LegalEntityID>
        <CaseLegalEntityID>121807832</CaseLegalEntityID>
        <AuthenticationTypeID>4</AuthenticationTypeID>
        <AuthenticationTypeName>מ.ר.</AuthenticationTypeName>
        <LegalEntityNumber>27974</LegalEntityNumber>
        <IsMainPartyType>true</IsMainPartyType>
        <CaseDisplayIdentifier>28791-04-22</CaseDisplayIdentifier>
        <CaseTypeID>10048</CaseTypeID>
        <CaseTypeName>תיק פלילי (ת"פ)</CaseTypeName>
        <CaseName>מדינת ישראל נ' רודקוב</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אירינה זלוזנה</FullName>
        <FirstName>אירינה</FirstName>
        <LastName>זלוזנה</LastName>
        <PartyPropertyName/>
        <AuthenticationTypeAndNumber>ת"ז 345722797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255367380</CasePartyID>
        <PartyTypeID>4</PartyTypeID>
        <ActivityStatusID>1</ActivityStatusID>
        <PartyAliasID>101</PartyAliasID>
        <PartyAliasName>עד בית משפט</PartyAliasName>
        <LegalEntityID>81199692</LegalEntityID>
        <CaseLegalEntityID>124250460</CaseLegalEntityID>
        <AuthenticationTypeID>1</AuthenticationTypeID>
        <AuthenticationTypeName>ת"ז</AuthenticationTypeName>
        <LegalEntityNumber>345722797</LegalEntityNumber>
        <IsMainPartyType>true</IsMainPartyType>
        <CaseDisplayIdentifier>28791-04-22</CaseDisplayIdentifier>
        <CaseTypeID>10048</CaseTypeID>
        <CaseTypeName>תיק פלילי (ת"פ)</CaseTypeName>
        <CaseName>מדינת ישראל נ' רודקוב</CaseName>
        <FullAddress>ניצנים בית 1 דירה 44 אשקלון </FullAddress>
        <MotionID>0</MotionID>
        <CasePleaID>0</CasePleaID>
        <FatherName>לאוניד</FatherName>
        <LinkedCaseID>0</LinkedCaseID>
        <PartyID>1</PartyID>
        <CasePartyCategoryID>2</CasePartyCategoryID>
        <LegalEntityAddressID>87882349</LegalEntityAddressID>
        <PleaTypeID>8</PleaTypeID>
        <GroupPartyAlias/>
        <IsConverted>false</IsConverted>
        <LegalEntityRegisteredNameID>10332908</LegalEntityRegisteredNameID>
        <LegalEntityNameID>94824064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אירינה זלוזנה</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253573277</CasePartyID>
        <PartyTypeID>3</PartyTypeID>
        <ActivityStatusID>1</ActivityStatusID>
        <LegalEntityID>3493000</LegalEntityID>
        <CaseLegalEntityID>123697214</CaseLegalEntityID>
        <AssistantRoleID>13</AssistantRoleID>
        <AuthenticationTypeID>13</AuthenticationTypeID>
        <AuthenticationTypeName>משרדי ממשלה</AuthenticationTypeName>
        <LegalEntityNumber>513441967</LegalEntityNumber>
        <IsMainPartyType>true</IsMainPartyType>
        <CaseDisplayIdentifier>28791-04-22</CaseDisplayIdentifier>
        <CaseTypeID>10048</CaseTypeID>
        <CaseTypeName>תיק פלילי (ת"פ)</CaseTypeName>
        <CaseName>מדינת ישראל נ' רודקוב</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שירות בתי הסוהר - מחלקת האסיר</FullName>
        <LastName>שירות בתי הסוהר - מחלקת האסיר</LastName>
        <PartyPropertyName/>
        <AuthenticationTypeAndNumber>משרדי ממשלה 570000444</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253573988</CasePartyID>
        <PartyTypeID>3</PartyTypeID>
        <ActivityStatusID>1</ActivityStatusID>
        <LegalEntityID>12654735</LegalEntityID>
        <CaseLegalEntityID>123697498</CaseLegalEntityID>
        <AssistantRoleID>13</AssistantRoleID>
        <AuthenticationTypeID>13</AuthenticationTypeID>
        <AuthenticationTypeName>משרדי ממשלה</AuthenticationTypeName>
        <LegalEntityNumber>570000444</LegalEntityNumber>
        <IsMainPartyType>true</IsMainPartyType>
        <CaseDisplayIdentifier>28791-04-22</CaseDisplayIdentifier>
        <CaseTypeID>10048</CaseTypeID>
        <CaseTypeName>תיק פלילי (ת"פ)</CaseTypeName>
        <CaseName>מדינת ישראל נ' רודקוב</CaseName>
        <FullAddress>שמעון יצחק אפרייט, נציבות שב"ס רמלה אגף האסיר</FullAddress>
        <EmailAddress>m.asir@ips.gov.il</EmailAddress>
        <MotionID>0</MotionID>
        <CasePleaID>0</CasePleaID>
        <LinkedCaseID>0</LinkedCaseID>
        <PartyID>1</PartyID>
        <CasePartyCategoryID>2</CasePartyCategoryID>
        <LegalEntityAddressID>87251608</LegalEntityAddressID>
        <LegalEntityEmailAddressID>68171024</LegalEntityEmailAddressID>
        <PleaTypeID>8</PleaTypeID>
        <GroupPartyAlias/>
        <IsConverted>false</IsConverted>
        <LegalEntityRegisteredNameID>4238211</LegalEntityRegisteredNameID>
        <RepresentatedNamesOfAssistant/>
        <LegalEntityTypeID>3</LegalEntityTypeID>
        <IsVerdictExists>false</IsVerdictExists>
        <IsAsirAzir>false</IsAsirAzir>
        <IsPublicationProhibited>false</IsPublicationProhibited>
        <PublicationProhibitedFullName>שירות בתי הסוהר - מחלקת האסיר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דוגמן דמיטרי</FullName>
        <FirstName>דוגמן</FirstName>
        <LastName>דמיטרי</LastName>
        <PartyPropertyName/>
        <AuthenticationTypeAndNumber>מ.ר. 59555</AuthenticationTypeAndNumber>
        <RepresentatedOrRepresentativesNames>יבגני רודקוב</RepresentatedOrRepresentativesNames>
        <RepresentatedOrRepresentativesCount>1</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240134368</CasePartyID>
        <PartyTypeID>2</PartyTypeID>
        <ActivityStatusID>1</ActivityStatusID>
        <PartyAliasID>32</PartyAliasID>
        <PartyAliasName>בא כוח נאשמים</PartyAliasName>
        <LegalEntityID>72596046</LegalEntityID>
        <CaseLegalEntityID>119499324</CaseLegalEntityID>
        <AuthenticationTypeID>4</AuthenticationTypeID>
        <AuthenticationTypeName>מ.ר.</AuthenticationTypeName>
        <LegalEntityNumber>59555</LegalEntityNumber>
        <IsMainPartyType>true</IsMainPartyType>
        <CaseDisplayIdentifier>28791-04-22</CaseDisplayIdentifier>
        <CaseTypeID>10048</CaseTypeID>
        <CaseTypeName>תיק פלילי (ת"פ)</CaseTypeName>
        <CaseName>מדינת ישראל נ' רודקוב</CaseName>
        <FullAddress>לכיש 10/1 דירה 5 אשקלון </FullAddress>
        <EmailAddress>dugman2@walla.com</EmailAddress>
        <MotionID>0</MotionID>
        <CasePleaID>0</CasePleaID>
        <LinkedCaseID>0</LinkedCaseID>
        <PartyID>2</PartyID>
        <CasePartyCategoryID>2</CasePartyCategoryID>
        <LegalEntityAddressID>74675547</LegalEntityAddressID>
        <LegalEntityEmailAddressID>67851410</LegalEntityEmailAddressID>
        <PleaTypeID>8</PleaTypeID>
        <LawyerOfficeName>משרד עו"ד דוגמן דמיטרי</LawyerOfficeName>
        <LawyerOfficeID>72596047</LawyerOfficeID>
        <GroupPartyAlias/>
        <IsConverted>false</IsConverted>
        <LegalEntityNameID>76649443</LegalEntityNameID>
        <RepresentatedNamesOfAssistant/>
        <LegalEntityTypeID>4</LegalEntityTypeID>
        <IsVerdictExists>false</IsVerdictExists>
        <IsAsirAzir>false</IsAsirAzir>
        <IsPublicationProhibited>false</IsPublicationProhibited>
        <PublicationProhibitedFullName>דוגמן דמיטרי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א. ז</FullName>
        <FirstName>א.</FirstName>
        <LastName>ז</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250781429</CasePartyID>
        <PartyTypeID>4</PartyTypeID>
        <ActivityStatusID>1</ActivityStatusID>
        <PartyAliasID>71</PartyAliasID>
        <PartyAliasName>עד מאשימה</PartyAliasName>
        <OrdinalNumber>1</OrdinalNumber>
        <LegalEntityID>80978124</LegalEntityID>
        <CaseLegalEntityID>122828306</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באמצעות המאשימה</FullAddress>
        <MotionID>0</MotionID>
        <CasePleaID>0</CasePleaID>
        <LinkedCaseID>0</LinkedCaseID>
        <PartyID>1</PartyID>
        <CasePartyCategoryID>2</CasePartyCategoryID>
        <LegalEntityAddressID>87447696</LegalEntityAddressID>
        <PleaTypeID>8</PleaTypeID>
        <GroupPartyAlias/>
        <IsConverted>false</IsConverted>
        <LegalEntityNameID>94281420</LegalEntityNameID>
        <RepresentatedNamesOfAssistant/>
        <LegalEntityTypeID>1</LegalEntityTypeID>
        <IsVerdictExists>false</IsVerdictExists>
        <IsAsirAzir>false</IsAsirAzir>
        <IsPublicationProhibited>false</IsPublicationProhibited>
        <PublicationProhibitedFullName>א. ז</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2</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248071533</CasePartyID>
        <PartyTypeID>2</PartyTypeID>
        <ActivityStatusID>1</ActivityStatusID>
        <PartyAliasID>30</PartyAliasID>
        <PartyAliasName>בא כוח מאשימה</PartyAliasName>
        <OrdinalNumber>1</OrdinalNumber>
        <LegalEntityID>404183</LegalEntityID>
        <CaseLegalEntityID>121807832</CaseLegalEntityID>
        <AuthenticationTypeID>4</AuthenticationTypeID>
        <AuthenticationTypeName>מ.ר.</AuthenticationTypeName>
        <LegalEntityNumber>27974</LegalEntityNumber>
        <IsMainPartyType>true</IsMainPartyType>
        <CaseDisplayIdentifier>28791-04-22</CaseDisplayIdentifier>
        <CaseTypeID>10048</CaseTypeID>
        <CaseTypeName>תיק פלילי (ת"פ)</CaseTypeName>
        <CaseName>מדינת ישראל נ' רודקוב</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4</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239976025</CasePartyID>
        <PartyTypeID>1</PartyTypeID>
        <ActivityStatusID>1</ActivityStatusID>
        <PartyAliasID>11</PartyAliasID>
        <PartyAliasName>מאשימה</PartyAliasName>
        <OrdinalNumber>1</OrdinalNumber>
        <LegalEntityID>4</LegalEntityID>
        <CaseLegalEntityID>119445317</CaseLegalEntityID>
        <AuthenticationTypeID>41</AuthenticationTypeID>
        <AuthenticationTypeName>מדינת ישראל </AuthenticationTypeName>
        <LegalEntityNumber/>
        <IsMainPartyType>true</IsMainPartyType>
        <CaseDisplayIdentifier>28791-04-22</CaseDisplayIdentifier>
        <CaseTypeID>10048</CaseTypeID>
        <CaseTypeName>תיק פלילי (ת"פ)</CaseTypeName>
        <CaseName>מדינת ישראל נ' רודקוב</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יבגני רודקוב</FullName>
        <FirstName>יבגני</FirstName>
        <LastName>רודקוב</LastName>
        <PartyPropertyName/>
        <AuthenticationTypeAndNumber>ת"ז 322063447</AuthenticationTypeAndNumber>
        <RepresentatedOrRepresentativesNames>דוגמן דמיטרי</RepresentatedOrRepresentativesNames>
        <RepresentatedOrRepresentativesCount>1</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239976027</CasePartyID>
        <PartyTypeID>1</PartyTypeID>
        <ActivityStatusID>1</ActivityStatusID>
        <PartyAliasID>13</PartyAliasID>
        <PartyAliasName>נאשם</PartyAliasName>
        <OrdinalNumber>1</OrdinalNumber>
        <LegalEntityID>80432865</LegalEntityID>
        <CaseLegalEntityID>119445319</CaseLegalEntityID>
        <AuthenticationTypeID>1</AuthenticationTypeID>
        <AuthenticationTypeName>ת"ז</AuthenticationTypeName>
        <LegalEntityNumber>322063447</LegalEntityNumber>
        <IsMainPartyType>true</IsMainPartyType>
        <CaseDisplayIdentifier>28791-04-22</CaseDisplayIdentifier>
        <CaseTypeID>10048</CaseTypeID>
        <CaseTypeName>תיק פלילי (ת"פ)</CaseTypeName>
        <CaseName>מדינת ישראל נ' רודקוב</CaseName>
        <FullAddress>רוח במדבר</FullAddress>
        <MotionID>0</MotionID>
        <CasePleaID>0</CasePleaID>
        <BirthDate>1981-03-11T20:58:37+02:00</BirthDate>
        <FatherName>גריגורי</FatherName>
        <LinkedCaseID>0</LinkedCaseID>
        <PartyID>2</PartyID>
        <CasePartyCategoryID>2</CasePartyCategoryID>
        <LegalEntityAddressID>87715670</LegalEntityAddressID>
        <PleaTypeID>8</PleaTypeID>
        <GroupPartyAlias>נאשמים</GroupPartyAlias>
        <IsConverted>false</IsConverted>
        <LegalEntityRegisteredNameID>9883067</LegalEntityRegisteredNameID>
        <LegalEntityNameID>92985830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רודקוב</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אירינה ז</FullName>
        <FirstName>אירינה</FirstName>
        <LastName>ז</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250781455</CasePartyID>
        <PartyTypeID>4</PartyTypeID>
        <ActivityStatusID>1</ActivityStatusID>
        <PartyAliasID>71</PartyAliasID>
        <PartyAliasName>עד מאשימה</PartyAliasName>
        <OrdinalNumber>2</OrdinalNumber>
        <LegalEntityID>80978125</LegalEntityID>
        <CaseLegalEntityID>122828309</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באמצעות המאשימה</FullAddress>
        <MotionID>0</MotionID>
        <CasePleaID>0</CasePleaID>
        <LinkedCaseID>0</LinkedCaseID>
        <PartyID>1</PartyID>
        <CasePartyCategoryID>2</CasePartyCategoryID>
        <LegalEntityAddressID>87447699</LegalEntityAddressID>
        <PleaTypeID>8</PleaTypeID>
        <GroupPartyAlias/>
        <IsConverted>false</IsConverted>
        <LegalEntityNameID>94281422</LegalEntityNameID>
        <RepresentatedNamesOfAssistant/>
        <LegalEntityTypeID>1</LegalEntityTypeID>
        <IsVerdictExists>false</IsVerdictExists>
        <IsAsirAzir>false</IsAsirAzir>
        <IsPublicationProhibited>false</IsPublicationProhibited>
        <PublicationProhibitedFullName>אירינה ז</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יבגני פיאנזין</FullName>
        <FirstName>יבגני</FirstName>
        <LastName>פיאנזין</LastName>
        <PartyPropertyName/>
        <AuthenticationTypeAndNumber>ת"ז 324600055</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250781490</CasePartyID>
        <PartyTypeID>4</PartyTypeID>
        <ActivityStatusID>1</ActivityStatusID>
        <PartyAliasID>101</PartyAliasID>
        <PartyAliasName>עד בית משפט</PartyAliasName>
        <OrdinalNumber>3</OrdinalNumber>
        <LegalEntityID>80978126</LegalEntityID>
        <CaseLegalEntityID>122828316</CaseLegalEntityID>
        <AuthenticationTypeID>1</AuthenticationTypeID>
        <AuthenticationTypeName>ת"ז</AuthenticationTypeName>
        <LegalEntityNumber>324600055</LegalEntityNumber>
        <IsMainPartyType>true</IsMainPartyType>
        <CaseDisplayIdentifier>28791-04-22</CaseDisplayIdentifier>
        <CaseTypeID>10048</CaseTypeID>
        <CaseTypeName>תיק פלילי (ת"פ)</CaseTypeName>
        <CaseName>מדינת ישראל נ' רודקוב</CaseName>
        <FullAddress>שפירא 28 אשקלון </FullAddress>
        <MotionID>0</MotionID>
        <CasePleaID>0</CasePleaID>
        <FatherName>גנאדי</FatherName>
        <LinkedCaseID>0</LinkedCaseID>
        <PartyID>1</PartyID>
        <CasePartyCategoryID>2</CasePartyCategoryID>
        <LegalEntityAddressID>87447700</LegalEntityAddressID>
        <PleaTypeID>8</PleaTypeID>
        <GroupPartyAlias/>
        <IsConverted>false</IsConverted>
        <LegalEntityRegisteredNameID>10367214</LegalEntityRegisteredNameID>
        <LegalEntityNameID>94281425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פיאנזין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איגור צופה</FullName>
        <FirstName>איגור</FirstName>
        <LastName>צופה</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250781580</CasePartyID>
        <PartyTypeID>4</PartyTypeID>
        <ActivityStatusID>1</ActivityStatusID>
        <PartyAliasID>71</PartyAliasID>
        <PartyAliasName>עד מאשימה</PartyAliasName>
        <OrdinalNumber>4</OrdinalNumber>
        <LegalEntityID>80978128</LegalEntityID>
        <CaseLegalEntityID>122828324</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יפה נוף 37 אשקלון </FullAddress>
        <MotionID>0</MotionID>
        <CasePleaID>0</CasePleaID>
        <LinkedCaseID>0</LinkedCaseID>
        <PartyID>1</PartyID>
        <CasePartyCategoryID>2</CasePartyCategoryID>
        <LegalEntityAddressID>87447702</LegalEntityAddressID>
        <PleaTypeID>8</PleaTypeID>
        <GroupPartyAlias/>
        <IsConverted>false</IsConverted>
        <LegalEntityNameID>94281427</LegalEntityNameID>
        <RepresentatedNamesOfAssistant/>
        <LegalEntityTypeID>1</LegalEntityTypeID>
        <IsVerdictExists>false</IsVerdictExists>
        <IsAsirAzir>false</IsAsirAzir>
        <IsPublicationProhibited>false</IsPublicationProhibited>
        <PublicationProhibitedFullName>איגור צופה</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רומן שילסולמן</FullName>
        <FirstName>רומן</FirstName>
        <LastName>שילסולמן</LastName>
        <PartyPropertyName/>
        <AuthenticationTypeAndNumber>ת"ז 326956463</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250781621</CasePartyID>
        <PartyTypeID>4</PartyTypeID>
        <ActivityStatusID>1</ActivityStatusID>
        <PartyAliasID>101</PartyAliasID>
        <PartyAliasName>עד בית משפט</PartyAliasName>
        <OrdinalNumber>5</OrdinalNumber>
        <LegalEntityID>80978129</LegalEntityID>
        <CaseLegalEntityID>122828332</CaseLegalEntityID>
        <AuthenticationTypeID>1</AuthenticationTypeID>
        <AuthenticationTypeName>ת"ז</AuthenticationTypeName>
        <LegalEntityNumber>326956463</LegalEntityNumber>
        <IsMainPartyType>true</IsMainPartyType>
        <CaseDisplayIdentifier>28791-04-22</CaseDisplayIdentifier>
        <CaseTypeID>10048</CaseTypeID>
        <CaseTypeName>תיק פלילי (ת"פ)</CaseTypeName>
        <CaseName>מדינת ישראל נ' רודקוב</CaseName>
        <FullAddress>עוגן 15 אשקלון </FullAddress>
        <MotionID>0</MotionID>
        <CasePleaID>0</CasePleaID>
        <FatherName>בוריס</FatherName>
        <LinkedCaseID>0</LinkedCaseID>
        <PartyID>1</PartyID>
        <CasePartyCategoryID>2</CasePartyCategoryID>
        <LegalEntityAddressID>87447706</LegalEntityAddressID>
        <PleaTypeID>8</PleaTypeID>
        <GroupPartyAlias/>
        <IsConverted>false</IsConverted>
        <LegalEntityRegisteredNameID>10471875</LegalEntityRegisteredNameID>
        <LegalEntityNameID>94281432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רומן שילסולמן</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אלכסנדרה שילסולמן</FullName>
        <FirstName>אלכסנדרה</FirstName>
        <LastName>שילסולמן</LastName>
        <PartyPropertyName/>
        <AuthenticationTypeAndNumber>ת"ז 345722466</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250781700</CasePartyID>
        <PartyTypeID>4</PartyTypeID>
        <ActivityStatusID>1</ActivityStatusID>
        <PartyAliasID>101</PartyAliasID>
        <PartyAliasName>עד בית משפט</PartyAliasName>
        <OrdinalNumber>6</OrdinalNumber>
        <LegalEntityID>80978131</LegalEntityID>
        <CaseLegalEntityID>122828344</CaseLegalEntityID>
        <AuthenticationTypeID>1</AuthenticationTypeID>
        <AuthenticationTypeName>ת"ז</AuthenticationTypeName>
        <LegalEntityNumber>345722466</LegalEntityNumber>
        <IsMainPartyType>true</IsMainPartyType>
        <CaseDisplayIdentifier>28791-04-22</CaseDisplayIdentifier>
        <CaseTypeID>10048</CaseTypeID>
        <CaseTypeName>תיק פלילי (ת"פ)</CaseTypeName>
        <CaseName>מדינת ישראל נ' רודקוב</CaseName>
        <FullAddress>עוגן 15 אשקלון </FullAddress>
        <MotionID>0</MotionID>
        <CasePleaID>0</CasePleaID>
        <FatherName>אלכסנדר</FatherName>
        <LinkedCaseID>0</LinkedCaseID>
        <PartyID>1</PartyID>
        <CasePartyCategoryID>2</CasePartyCategoryID>
        <LegalEntityAddressID>87447708</LegalEntityAddressID>
        <PleaTypeID>8</PleaTypeID>
        <GroupPartyAlias/>
        <IsConverted>false</IsConverted>
        <LegalEntityRegisteredNameID>10471872</LegalEntityRegisteredNameID>
        <LegalEntityNameID>94281433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אלכסנדרה שילסולמן</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גריגורי שבנצקו</FullName>
        <FirstName>גריגורי</FirstName>
        <LastName>שבנצקו</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250781400</CasePartyID>
        <PartyTypeID>4</PartyTypeID>
        <ActivityStatusID>1</ActivityStatusID>
        <PartyAliasID>71</PartyAliasID>
        <PartyAliasName>עד מאשימה</PartyAliasName>
        <OrdinalNumber>7</OrdinalNumber>
        <LegalEntityID>80978123</LegalEntityID>
        <CaseLegalEntityID>122828288</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שפירא 32\16 אשקלון </FullAddress>
        <MotionID>0</MotionID>
        <CasePleaID>0</CasePleaID>
        <LinkedCaseID>0</LinkedCaseID>
        <PartyID>1</PartyID>
        <CasePartyCategoryID>2</CasePartyCategoryID>
        <LegalEntityAddressID>87447691</LegalEntityAddressID>
        <PleaTypeID>8</PleaTypeID>
        <GroupPartyAlias/>
        <IsConverted>false</IsConverted>
        <LegalEntityNameID>94281414</LegalEntityNameID>
        <RepresentatedNamesOfAssistant/>
        <LegalEntityTypeID>1</LegalEntityTypeID>
        <IsVerdictExists>false</IsVerdictExists>
        <IsAsirAzir>false</IsAsirAzir>
        <IsPublicationProhibited>false</IsPublicationProhibited>
        <PublicationProhibitedFullName>גריגורי שבנצקו</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רס"מ מני חדד</FullName>
        <FirstName>רס"מ מני</FirstName>
        <LastName>חדד</LastName>
        <PartyPropertyName/>
        <AuthenticationTypeAndNumber>מספר שוטר 1204742</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253819951</CasePartyID>
        <PartyTypeID>4</PartyTypeID>
        <ActivityStatusID>1</ActivityStatusID>
        <PartyAliasID>71</PartyAliasID>
        <PartyAliasName>עד מאשימה</PartyAliasName>
        <OrdinalNumber>8</OrdinalNumber>
        <LegalEntityID>81125051</LegalEntityID>
        <CaseLegalEntityID>123771669</CaseLegalEntityID>
        <AuthenticationTypeID>34</AuthenticationTypeID>
        <AuthenticationTypeName>מספר שוטר</AuthenticationTypeName>
        <LegalEntityNumber>1204742</LegalEntityNumber>
        <IsMainPartyType>true</IsMainPartyType>
        <CaseDisplayIdentifier>28791-04-22</CaseDisplayIdentifier>
        <CaseTypeID>10048</CaseTypeID>
        <CaseTypeName>תיק פלילי (ת"פ)</CaseTypeName>
        <CaseName>מדינת ישראל נ' רודקוב</CaseName>
        <FullAddress>תחנת אשקלון אשקלון משטרת ישראל</FullAddress>
        <MotionID>0</MotionID>
        <CasePleaID>0</CasePleaID>
        <LinkedCaseID>0</LinkedCaseID>
        <PartyID>1</PartyID>
        <CasePartyCategoryID>2</CasePartyCategoryID>
        <LegalEntityAddressID>87737303</LegalEntityAddressID>
        <PleaTypeID>8</PleaTypeID>
        <GroupPartyAlias/>
        <IsConverted>false</IsConverted>
        <LegalEntityNameID>94641147</LegalEntityNameID>
        <RepresentatedNamesOfAssistant/>
        <LegalEntityTypeID>9</LegalEntityTypeID>
        <IsVerdictExists>false</IsVerdictExists>
        <IsAsirAzir>false</IsAsirAzir>
        <IsPublicationProhibited>false</IsPublicationProhibited>
        <PublicationProhibitedFullName>רס"מ מני חדד</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רס"מ אלכס שניטמן</FullName>
        <FirstName>רס"מ אלכס</FirstName>
        <LastName>שניטמן</LastName>
        <PartyPropertyName/>
        <AuthenticationTypeAndNumber>מספר אישי 1020429</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250781733</CasePartyID>
        <PartyTypeID>4</PartyTypeID>
        <ActivityStatusID>1</ActivityStatusID>
        <PartyAliasID>71</PartyAliasID>
        <PartyAliasName>עד מאשימה</PartyAliasName>
        <OrdinalNumber>9</OrdinalNumber>
        <LegalEntityID>80978133</LegalEntityID>
        <CaseLegalEntityID>122828353</CaseLegalEntityID>
        <AuthenticationTypeID>35</AuthenticationTypeID>
        <AuthenticationTypeName>מספר אישי</AuthenticationTypeName>
        <LegalEntityNumber>1020429</LegalEntityNumber>
        <IsMainPartyType>true</IsMainPartyType>
        <CaseDisplayIdentifier>28791-04-22</CaseDisplayIdentifier>
        <CaseTypeID>10048</CaseTypeID>
        <CaseTypeName>תיק פלילי (ת"פ)</CaseTypeName>
        <CaseName>מדינת ישראל נ' רודקוב</CaseName>
        <FullAddress>נשטרת ישראל תחנת אשקלון לכיש  באמצעות פמ"ד</FullAddress>
        <MotionID>0</MotionID>
        <CasePleaID>0</CasePleaID>
        <LinkedCaseID>0</LinkedCaseID>
        <PartyID>1</PartyID>
        <CasePartyCategoryID>2</CasePartyCategoryID>
        <LegalEntityAddressID>87447712</LegalEntityAddressID>
        <PleaTypeID>8</PleaTypeID>
        <GroupPartyAlias/>
        <IsConverted>false</IsConverted>
        <LegalEntityNameID>94281441</LegalEntityNameID>
        <RepresentatedNamesOfAssistant/>
        <LegalEntityTypeID>9</LegalEntityTypeID>
        <IsVerdictExists>false</IsVerdictExists>
        <IsAsirAzir>false</IsAsirAzir>
        <IsPublicationProhibited>false</IsPublicationProhibited>
        <PublicationProhibitedFullName>רס"מ אלכס שניטמן</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פקד איגור ליובשבסקי</FullName>
        <FirstName>פקד איגור</FirstName>
        <LastName>ליובשבסקי</LastName>
        <PartyPropertyName/>
        <AuthenticationTypeAndNumber>מספר שוטר 74134214</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256578038</CasePartyID>
        <PartyTypeID>4</PartyTypeID>
        <ActivityStatusID>1</ActivityStatusID>
        <PartyAliasID>71</PartyAliasID>
        <PartyAliasName>עד מאשימה</PartyAliasName>
        <OrdinalNumber>13</OrdinalNumber>
        <LegalEntityID>81257309</LegalEntityID>
        <CaseLegalEntityID>124628727</CaseLegalEntityID>
        <AuthenticationTypeID>34</AuthenticationTypeID>
        <AuthenticationTypeName>מספר שוטר</AuthenticationTypeName>
        <LegalEntityNumber>74134214</LegalEntityNumber>
        <IsMainPartyType>true</IsMainPartyType>
        <CaseDisplayIdentifier>28791-04-22</CaseDisplayIdentifier>
        <CaseTypeID>10048</CaseTypeID>
        <CaseTypeName>תיק פלילי (ת"פ)</CaseTypeName>
        <CaseName>מדינת ישראל נ' רודקוב</CaseName>
        <FullAddress>משטרת ישראל</FullAddress>
        <MotionID>0</MotionID>
        <CasePleaID>0</CasePleaID>
        <LinkedCaseID>0</LinkedCaseID>
        <PartyID>1</PartyID>
        <CasePartyCategoryID>2</CasePartyCategoryID>
        <LegalEntityAddressID>88001129</LegalEntityAddressID>
        <PleaTypeID>8</PleaTypeID>
        <GroupPartyAlias/>
        <IsConverted>false</IsConverted>
        <LegalEntityNameID>94968801</LegalEntityNameID>
        <RepresentatedNamesOfAssistant/>
        <LegalEntityTypeID>9</LegalEntityTypeID>
        <IsVerdictExists>false</IsVerdictExists>
        <IsAsirAzir>false</IsAsirAzir>
        <IsPublicationProhibited>false</IsPublicationProhibited>
        <PublicationProhibitedFullName>פקד איגור ליובשבסקי</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רומן שמטקו</FullName>
        <FirstName>רומן</FirstName>
        <LastName>שמטקו</LastName>
        <PartyPropertyName/>
        <AuthenticationTypeAndNumber>ת"ז 345210538</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253820025</CasePartyID>
        <PartyTypeID>4</PartyTypeID>
        <ActivityStatusID>1</ActivityStatusID>
        <PartyAliasID>71</PartyAliasID>
        <PartyAliasName>עד מאשימה</PartyAliasName>
        <OrdinalNumber>15</OrdinalNumber>
        <LegalEntityID>79570300</LegalEntityID>
        <CaseLegalEntityID>123771685</CaseLegalEntityID>
        <AuthenticationTypeID>1</AuthenticationTypeID>
        <AuthenticationTypeName>ת"ז</AuthenticationTypeName>
        <LegalEntityNumber>345210538</LegalEntityNumber>
        <IsMainPartyType>true</IsMainPartyType>
        <CaseDisplayIdentifier>28791-04-22</CaseDisplayIdentifier>
        <CaseTypeID>10048</CaseTypeID>
        <CaseTypeName>תיק פלילי (ת"פ)</CaseTypeName>
        <CaseName>מדינת ישראל נ' רודקוב</CaseName>
        <FullAddress>באמצעות המאשימה</FullAddress>
        <MotionID>0</MotionID>
        <CasePleaID>0</CasePleaID>
        <FatherName>פבל</FatherName>
        <LinkedCaseID>0</LinkedCaseID>
        <PartyID>1</PartyID>
        <CasePartyCategoryID>2</CasePartyCategoryID>
        <LegalEntityAddressID>87737312</LegalEntityAddressID>
        <PleaTypeID>8</PleaTypeID>
        <GroupPartyAlias/>
        <IsConverted>false</IsConverted>
        <LegalEntityRegisteredNameID>9422759</LegalEntityRegisteredNameID>
        <LegalEntityNameID>94641157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רומן שמטקו</PublicationProhibitedFullName>
      </CaseParties>
    </CasePartiesSelectionDS>
    <DecisionName>הכרעת דין  שניתנה ע"י  אלון גביזון</DecisionName>
    <CourtDisplayName>בית המשפט המחוזי בבאר שבע</CourtDisplayName>
    <IsCaseJudgePanel>false</IsCaseJudgePanel>
    <DecisionSignatureDate>2023-12-10T10:37:57.8577795+02:00</DecisionSignatureDate>
    <OpenCaseDate>2022-04-14T08:54:00+03:00</OpenCaseDate>
    <ExternalCaseNumber>2269/22</ExternalCaseNumber>
    <DecisionTypeID>3</DecisionTypeID>
    <DecisionSignatureUserName>אלון גביזון</DecisionSignatureUserName>
    <DecisionSignatureDateHebrew>2023-12-10T10:37:57.8577795+02:00</DecisionSignatureDateHebrew>
    <DecisionWriterID>027983048@GOV.IL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רודקוב</CaseName>
    <DecisionNumberInCase>23</DecisionNumberInCase>
  </dt_Decision>
  <dt_DecisionCase>
    <DecisionID>0</DecisionID>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אלכסנדר זובקוב</FullName>
        <FirstName>אלכסנדר</FirstName>
        <LastName>זובקוב</LastName>
        <PartyPropertyName/>
        <AuthenticationTypeAndNumber>ת"ז 324510247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239977280</CasePartyID>
        <PartyTypeID>3</PartyTypeID>
        <ActivityStatusID>1</ActivityStatusID>
        <LegalEntityID>75509002</LegalEntityID>
        <CaseLegalEntityID>119445747</CaseLegalEntityID>
        <AssistantRoleID>12</AssistantRoleID>
        <AuthenticationTypeID>1</AuthenticationTypeID>
        <AuthenticationTypeName>ת"ז</AuthenticationTypeName>
        <LegalEntityNumber>324510247</LegalEntityNumber>
        <IsMainPartyType>true</IsMainPartyType>
        <CaseDisplayIdentifier>28791-04-22</CaseDisplayIdentifier>
        <CaseTypeID>10048</CaseTypeID>
        <CaseTypeName>תיק פלילי (ת"פ)</CaseTypeName>
        <CaseName>מדינת ישראל נ' רודקוב</CaseName>
        <FullAddress>ניצנים 1/4 אשקלון </FullAddress>
        <MotionID>0</MotionID>
        <CasePleaID>0</CasePleaID>
        <BirthDate>1987-05-08T00:00:00+03:00</BirthDate>
        <FatherName>סרגיי</FatherName>
        <LinkedCaseID>0</LinkedCaseID>
        <PartyID>1</PartyID>
        <CasePartyCategoryID>2</CasePartyCategoryID>
        <LegalEntityAddressID>86414251</LegalEntityAddressID>
        <PleaTypeID>8</PleaTypeID>
        <GroupPartyAlias/>
        <IsConverted>false</IsConverted>
        <LegalEntityRegisteredNameID>6138095</LegalEntityRegisteredNameID>
        <LegalEntityNameID>92986016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 זובקוב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240238333</CasePartyID>
        <PartyTypeID>3</PartyTypeID>
        <ActivityStatusID>1</ActivityStatusID>
        <LegalEntityID>45219378</LegalEntityID>
        <CaseLegalEntityID>119529680</CaseLegalEntityID>
        <AssistantRoleID>26</AssistantRoleID>
        <AuthenticationTypeID>13</AuthenticationTypeID>
        <AuthenticationTypeName>משרדי ממשלה</AuthenticationTypeName>
        <LegalEntityNumber>570000917</LegalEntityNumber>
        <IsMainPartyType>true</IsMainPartyType>
        <CaseDisplayIdentifier>28791-04-22</CaseDisplayIdentifier>
        <CaseTypeID>10048</CaseTypeID>
        <CaseTypeName>תיק פלילי (ת"פ)</CaseTypeName>
        <CaseName>מדינת ישראל נ' רודקוב</CaseName>
        <FullAddress>קרן היסוד 4 באר שבע קומה 6 בניין קרסו</FullAddress>
        <EmailAddress>Sanegoria_Bs_minoim@justice.gov.il</EmailAddress>
        <MotionID>0</MotionID>
        <CasePleaID>0</CasePleaID>
        <LinkedCaseID>0</LinkedCaseID>
        <PartyID>1</PartyID>
        <CasePartyCategoryID>2</CasePartyCategoryID>
        <LegalEntityAddressID>77779008</LegalEntityAddressID>
        <LegalEntityEmailAddressID>68042846</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2</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247416775</CasePartyID>
        <PartyTypeID>2</PartyTypeID>
        <ActivityStatusID>1</ActivityStatusID>
        <PartyAliasID>30</PartyAliasID>
        <PartyAliasName>בא כוח מאשימה</PartyAliasName>
        <LegalEntityID>404183</LegalEntityID>
        <CaseLegalEntityID>121807832</CaseLegalEntityID>
        <AuthenticationTypeID>4</AuthenticationTypeID>
        <AuthenticationTypeName>מ.ר.</AuthenticationTypeName>
        <LegalEntityNumber>27974</LegalEntityNumber>
        <IsMainPartyType>true</IsMainPartyType>
        <CaseDisplayIdentifier>28791-04-22</CaseDisplayIdentifier>
        <CaseTypeID>10048</CaseTypeID>
        <CaseTypeName>תיק פלילי (ת"פ)</CaseTypeName>
        <CaseName>מדינת ישראל נ' רודקוב</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אירינה זלוזנה</FullName>
        <FirstName>אירינה</FirstName>
        <LastName>זלוזנה</LastName>
        <PartyPropertyName/>
        <AuthenticationTypeAndNumber>ת"ז 345722797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255367380</CasePartyID>
        <PartyTypeID>4</PartyTypeID>
        <ActivityStatusID>1</ActivityStatusID>
        <PartyAliasID>101</PartyAliasID>
        <PartyAliasName>עד בית משפט</PartyAliasName>
        <LegalEntityID>81199692</LegalEntityID>
        <CaseLegalEntityID>124250460</CaseLegalEntityID>
        <AuthenticationTypeID>1</AuthenticationTypeID>
        <AuthenticationTypeName>ת"ז</AuthenticationTypeName>
        <LegalEntityNumber>345722797</LegalEntityNumber>
        <IsMainPartyType>true</IsMainPartyType>
        <CaseDisplayIdentifier>28791-04-22</CaseDisplayIdentifier>
        <CaseTypeID>10048</CaseTypeID>
        <CaseTypeName>תיק פלילי (ת"פ)</CaseTypeName>
        <CaseName>מדינת ישראל נ' רודקוב</CaseName>
        <FullAddress>ניצנים בית 1 דירה 44 אשקלון </FullAddress>
        <MotionID>0</MotionID>
        <CasePleaID>0</CasePleaID>
        <FatherName>לאוניד</FatherName>
        <LinkedCaseID>0</LinkedCaseID>
        <PartyID>1</PartyID>
        <CasePartyCategoryID>2</CasePartyCategoryID>
        <LegalEntityAddressID>87882349</LegalEntityAddressID>
        <PleaTypeID>8</PleaTypeID>
        <GroupPartyAlias/>
        <IsConverted>false</IsConverted>
        <LegalEntityRegisteredNameID>10332908</LegalEntityRegisteredNameID>
        <LegalEntityNameID>94824064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אירינה זלוזנה</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253573277</CasePartyID>
        <PartyTypeID>3</PartyTypeID>
        <ActivityStatusID>1</ActivityStatusID>
        <LegalEntityID>3493000</LegalEntityID>
        <CaseLegalEntityID>123697214</CaseLegalEntityID>
        <AssistantRoleID>13</AssistantRoleID>
        <AuthenticationTypeID>13</AuthenticationTypeID>
        <AuthenticationTypeName>משרדי ממשלה</AuthenticationTypeName>
        <LegalEntityNumber>513441967</LegalEntityNumber>
        <IsMainPartyType>true</IsMainPartyType>
        <CaseDisplayIdentifier>28791-04-22</CaseDisplayIdentifier>
        <CaseTypeID>10048</CaseTypeID>
        <CaseTypeName>תיק פלילי (ת"פ)</CaseTypeName>
        <CaseName>מדינת ישראל נ' רודקוב</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שירות בתי הסוהר - מחלקת האסיר</FullName>
        <LastName>שירות בתי הסוהר - מחלקת האסיר</LastName>
        <PartyPropertyName/>
        <AuthenticationTypeAndNumber>משרדי ממשלה 570000444</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253573988</CasePartyID>
        <PartyTypeID>3</PartyTypeID>
        <ActivityStatusID>1</ActivityStatusID>
        <LegalEntityID>12654735</LegalEntityID>
        <CaseLegalEntityID>123697498</CaseLegalEntityID>
        <AssistantRoleID>13</AssistantRoleID>
        <AuthenticationTypeID>13</AuthenticationTypeID>
        <AuthenticationTypeName>משרדי ממשלה</AuthenticationTypeName>
        <LegalEntityNumber>570000444</LegalEntityNumber>
        <IsMainPartyType>true</IsMainPartyType>
        <CaseDisplayIdentifier>28791-04-22</CaseDisplayIdentifier>
        <CaseTypeID>10048</CaseTypeID>
        <CaseTypeName>תיק פלילי (ת"פ)</CaseTypeName>
        <CaseName>מדינת ישראל נ' רודקוב</CaseName>
        <FullAddress>שמעון יצחק אפרייט, נציבות שב"ס רמלה אגף האסיר</FullAddress>
        <EmailAddress>m.asir@ips.gov.il</EmailAddress>
        <MotionID>0</MotionID>
        <CasePleaID>0</CasePleaID>
        <LinkedCaseID>0</LinkedCaseID>
        <PartyID>1</PartyID>
        <CasePartyCategoryID>2</CasePartyCategoryID>
        <LegalEntityAddressID>87251608</LegalEntityAddressID>
        <LegalEntityEmailAddressID>68171024</LegalEntityEmailAddressID>
        <PleaTypeID>8</PleaTypeID>
        <GroupPartyAlias/>
        <IsConverted>false</IsConverted>
        <LegalEntityRegisteredNameID>4238211</LegalEntityRegisteredNameID>
        <RepresentatedNamesOfAssistant/>
        <LegalEntityTypeID>3</LegalEntityTypeID>
        <IsVerdictExists>false</IsVerdictExists>
        <IsAsirAzir>false</IsAsirAzir>
        <IsPublicationProhibited>false</IsPublicationProhibited>
        <PublicationProhibitedFullName>שירות בתי הסוהר - מחלקת האסיר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דוגמן דמיטרי</FullName>
        <FirstName>דוגמן</FirstName>
        <LastName>דמיטרי</LastName>
        <PartyPropertyName/>
        <AuthenticationTypeAndNumber>מ.ר. 59555</AuthenticationTypeAndNumber>
        <RepresentatedOrRepresentativesNames>יבגני רודקוב</RepresentatedOrRepresentativesNames>
        <RepresentatedOrRepresentativesCount>1</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240134368</CasePartyID>
        <PartyTypeID>2</PartyTypeID>
        <ActivityStatusID>1</ActivityStatusID>
        <PartyAliasID>32</PartyAliasID>
        <PartyAliasName>בא כוח נאשמים</PartyAliasName>
        <LegalEntityID>72596046</LegalEntityID>
        <CaseLegalEntityID>119499324</CaseLegalEntityID>
        <AuthenticationTypeID>4</AuthenticationTypeID>
        <AuthenticationTypeName>מ.ר.</AuthenticationTypeName>
        <LegalEntityNumber>59555</LegalEntityNumber>
        <IsMainPartyType>true</IsMainPartyType>
        <CaseDisplayIdentifier>28791-04-22</CaseDisplayIdentifier>
        <CaseTypeID>10048</CaseTypeID>
        <CaseTypeName>תיק פלילי (ת"פ)</CaseTypeName>
        <CaseName>מדינת ישראל נ' רודקוב</CaseName>
        <FullAddress>לכיש 10/1 דירה 5 אשקלון </FullAddress>
        <EmailAddress>dugman2@walla.com</EmailAddress>
        <MotionID>0</MotionID>
        <CasePleaID>0</CasePleaID>
        <LinkedCaseID>0</LinkedCaseID>
        <PartyID>2</PartyID>
        <CasePartyCategoryID>2</CasePartyCategoryID>
        <LegalEntityAddressID>74675547</LegalEntityAddressID>
        <LegalEntityEmailAddressID>67851410</LegalEntityEmailAddressID>
        <PleaTypeID>8</PleaTypeID>
        <LawyerOfficeName>משרד עו"ד דוגמן דמיטרי</LawyerOfficeName>
        <LawyerOfficeID>72596047</LawyerOfficeID>
        <GroupPartyAlias/>
        <IsConverted>false</IsConverted>
        <LegalEntityNameID>76649443</LegalEntityNameID>
        <RepresentatedNamesOfAssistant/>
        <LegalEntityTypeID>4</LegalEntityTypeID>
        <IsVerdictExists>false</IsVerdictExists>
        <IsAsirAzir>false</IsAsirAzir>
        <IsPublicationProhibited>false</IsPublicationProhibited>
        <PublicationProhibitedFullName>דוגמן דמיטרי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א. ז</FullName>
        <FirstName>א.</FirstName>
        <LastName>ז</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250781429</CasePartyID>
        <PartyTypeID>4</PartyTypeID>
        <ActivityStatusID>1</ActivityStatusID>
        <PartyAliasID>71</PartyAliasID>
        <PartyAliasName>עד מאשימה</PartyAliasName>
        <OrdinalNumber>1</OrdinalNumber>
        <LegalEntityID>80978124</LegalEntityID>
        <CaseLegalEntityID>122828306</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באמצעות המאשימה</FullAddress>
        <MotionID>0</MotionID>
        <CasePleaID>0</CasePleaID>
        <LinkedCaseID>0</LinkedCaseID>
        <PartyID>1</PartyID>
        <CasePartyCategoryID>2</CasePartyCategoryID>
        <LegalEntityAddressID>87447696</LegalEntityAddressID>
        <PleaTypeID>8</PleaTypeID>
        <GroupPartyAlias/>
        <IsConverted>false</IsConverted>
        <LegalEntityNameID>94281420</LegalEntityNameID>
        <RepresentatedNamesOfAssistant/>
        <LegalEntityTypeID>1</LegalEntityTypeID>
        <IsVerdictExists>false</IsVerdictExists>
        <IsAsirAzir>false</IsAsirAzir>
        <IsPublicationProhibited>false</IsPublicationProhibited>
        <PublicationProhibitedFullName>א. ז</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2</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248071533</CasePartyID>
        <PartyTypeID>2</PartyTypeID>
        <ActivityStatusID>1</ActivityStatusID>
        <PartyAliasID>30</PartyAliasID>
        <PartyAliasName>בא כוח מאשימה</PartyAliasName>
        <OrdinalNumber>1</OrdinalNumber>
        <LegalEntityID>404183</LegalEntityID>
        <CaseLegalEntityID>121807832</CaseLegalEntityID>
        <AuthenticationTypeID>4</AuthenticationTypeID>
        <AuthenticationTypeName>מ.ר.</AuthenticationTypeName>
        <LegalEntityNumber>27974</LegalEntityNumber>
        <IsMainPartyType>true</IsMainPartyType>
        <CaseDisplayIdentifier>28791-04-22</CaseDisplayIdentifier>
        <CaseTypeID>10048</CaseTypeID>
        <CaseTypeName>תיק פלילי (ת"פ)</CaseTypeName>
        <CaseName>מדינת ישראל נ' רודקוב</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4</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239976025</CasePartyID>
        <PartyTypeID>1</PartyTypeID>
        <ActivityStatusID>1</ActivityStatusID>
        <PartyAliasID>11</PartyAliasID>
        <PartyAliasName>מאשימה</PartyAliasName>
        <OrdinalNumber>1</OrdinalNumber>
        <LegalEntityID>4</LegalEntityID>
        <CaseLegalEntityID>119445317</CaseLegalEntityID>
        <AuthenticationTypeID>41</AuthenticationTypeID>
        <AuthenticationTypeName>מדינת ישראל </AuthenticationTypeName>
        <LegalEntityNumber/>
        <IsMainPartyType>true</IsMainPartyType>
        <CaseDisplayIdentifier>28791-04-22</CaseDisplayIdentifier>
        <CaseTypeID>10048</CaseTypeID>
        <CaseTypeName>תיק פלילי (ת"פ)</CaseTypeName>
        <CaseName>מדינת ישראל נ' רודקוב</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יבגני רודקוב</FullName>
        <FirstName>יבגני</FirstName>
        <LastName>רודקוב</LastName>
        <PartyPropertyName/>
        <AuthenticationTypeAndNumber>ת"ז 322063447</AuthenticationTypeAndNumber>
        <RepresentatedOrRepresentativesNames>דוגמן דמיטרי</RepresentatedOrRepresentativesNames>
        <RepresentatedOrRepresentativesCount>1</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239976027</CasePartyID>
        <PartyTypeID>1</PartyTypeID>
        <ActivityStatusID>1</ActivityStatusID>
        <PartyAliasID>13</PartyAliasID>
        <PartyAliasName>נאשם</PartyAliasName>
        <OrdinalNumber>1</OrdinalNumber>
        <LegalEntityID>80432865</LegalEntityID>
        <CaseLegalEntityID>119445319</CaseLegalEntityID>
        <AuthenticationTypeID>1</AuthenticationTypeID>
        <AuthenticationTypeName>ת"ז</AuthenticationTypeName>
        <LegalEntityNumber>322063447</LegalEntityNumber>
        <IsMainPartyType>true</IsMainPartyType>
        <CaseDisplayIdentifier>28791-04-22</CaseDisplayIdentifier>
        <CaseTypeID>10048</CaseTypeID>
        <CaseTypeName>תיק פלילי (ת"פ)</CaseTypeName>
        <CaseName>מדינת ישראל נ' רודקוב</CaseName>
        <FullAddress>רוח במדבר</FullAddress>
        <MotionID>0</MotionID>
        <CasePleaID>0</CasePleaID>
        <BirthDate>1981-03-11T20:58:37+02:00</BirthDate>
        <FatherName>גריגורי</FatherName>
        <LinkedCaseID>0</LinkedCaseID>
        <PartyID>2</PartyID>
        <CasePartyCategoryID>2</CasePartyCategoryID>
        <LegalEntityAddressID>87715670</LegalEntityAddressID>
        <PleaTypeID>8</PleaTypeID>
        <GroupPartyAlias>נאשמים</GroupPartyAlias>
        <IsConverted>false</IsConverted>
        <LegalEntityRegisteredNameID>9883067</LegalEntityRegisteredNameID>
        <LegalEntityNameID>92985830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רודקוב</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אירינה ז</FullName>
        <FirstName>אירינה</FirstName>
        <LastName>ז</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250781455</CasePartyID>
        <PartyTypeID>4</PartyTypeID>
        <ActivityStatusID>1</ActivityStatusID>
        <PartyAliasID>71</PartyAliasID>
        <PartyAliasName>עד מאשימה</PartyAliasName>
        <OrdinalNumber>2</OrdinalNumber>
        <LegalEntityID>80978125</LegalEntityID>
        <CaseLegalEntityID>122828309</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באמצעות המאשימה</FullAddress>
        <MotionID>0</MotionID>
        <CasePleaID>0</CasePleaID>
        <LinkedCaseID>0</LinkedCaseID>
        <PartyID>1</PartyID>
        <CasePartyCategoryID>2</CasePartyCategoryID>
        <LegalEntityAddressID>87447699</LegalEntityAddressID>
        <PleaTypeID>8</PleaTypeID>
        <GroupPartyAlias/>
        <IsConverted>false</IsConverted>
        <LegalEntityNameID>94281422</LegalEntityNameID>
        <RepresentatedNamesOfAssistant/>
        <LegalEntityTypeID>1</LegalEntityTypeID>
        <IsVerdictExists>false</IsVerdictExists>
        <IsAsirAzir>false</IsAsirAzir>
        <IsPublicationProhibited>false</IsPublicationProhibited>
        <PublicationProhibitedFullName>אירינה ז</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יבגני פיאנזין</FullName>
        <FirstName>יבגני</FirstName>
        <LastName>פיאנזין</LastName>
        <PartyPropertyName/>
        <AuthenticationTypeAndNumber>ת"ז 324600055</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250781490</CasePartyID>
        <PartyTypeID>4</PartyTypeID>
        <ActivityStatusID>1</ActivityStatusID>
        <PartyAliasID>101</PartyAliasID>
        <PartyAliasName>עד בית משפט</PartyAliasName>
        <OrdinalNumber>3</OrdinalNumber>
        <LegalEntityID>80978126</LegalEntityID>
        <CaseLegalEntityID>122828316</CaseLegalEntityID>
        <AuthenticationTypeID>1</AuthenticationTypeID>
        <AuthenticationTypeName>ת"ז</AuthenticationTypeName>
        <LegalEntityNumber>324600055</LegalEntityNumber>
        <IsMainPartyType>true</IsMainPartyType>
        <CaseDisplayIdentifier>28791-04-22</CaseDisplayIdentifier>
        <CaseTypeID>10048</CaseTypeID>
        <CaseTypeName>תיק פלילי (ת"פ)</CaseTypeName>
        <CaseName>מדינת ישראל נ' רודקוב</CaseName>
        <FullAddress>שפירא 28 אשקלון </FullAddress>
        <MotionID>0</MotionID>
        <CasePleaID>0</CasePleaID>
        <FatherName>גנאדי</FatherName>
        <LinkedCaseID>0</LinkedCaseID>
        <PartyID>1</PartyID>
        <CasePartyCategoryID>2</CasePartyCategoryID>
        <LegalEntityAddressID>87447700</LegalEntityAddressID>
        <PleaTypeID>8</PleaTypeID>
        <GroupPartyAlias/>
        <IsConverted>false</IsConverted>
        <LegalEntityRegisteredNameID>10367214</LegalEntityRegisteredNameID>
        <LegalEntityNameID>94281425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פיאנזין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איגור צופה</FullName>
        <FirstName>איגור</FirstName>
        <LastName>צופה</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250781580</CasePartyID>
        <PartyTypeID>4</PartyTypeID>
        <ActivityStatusID>1</ActivityStatusID>
        <PartyAliasID>71</PartyAliasID>
        <PartyAliasName>עד מאשימה</PartyAliasName>
        <OrdinalNumber>4</OrdinalNumber>
        <LegalEntityID>80978128</LegalEntityID>
        <CaseLegalEntityID>122828324</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יפה נוף 37 אשקלון </FullAddress>
        <MotionID>0</MotionID>
        <CasePleaID>0</CasePleaID>
        <LinkedCaseID>0</LinkedCaseID>
        <PartyID>1</PartyID>
        <CasePartyCategoryID>2</CasePartyCategoryID>
        <LegalEntityAddressID>87447702</LegalEntityAddressID>
        <PleaTypeID>8</PleaTypeID>
        <GroupPartyAlias/>
        <IsConverted>false</IsConverted>
        <LegalEntityNameID>94281427</LegalEntityNameID>
        <RepresentatedNamesOfAssistant/>
        <LegalEntityTypeID>1</LegalEntityTypeID>
        <IsVerdictExists>false</IsVerdictExists>
        <IsAsirAzir>false</IsAsirAzir>
        <IsPublicationProhibited>false</IsPublicationProhibited>
        <PublicationProhibitedFullName>איגור צופה</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רומן שילסולמן</FullName>
        <FirstName>רומן</FirstName>
        <LastName>שילסולמן</LastName>
        <PartyPropertyName/>
        <AuthenticationTypeAndNumber>ת"ז 326956463</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250781621</CasePartyID>
        <PartyTypeID>4</PartyTypeID>
        <ActivityStatusID>1</ActivityStatusID>
        <PartyAliasID>101</PartyAliasID>
        <PartyAliasName>עד בית משפט</PartyAliasName>
        <OrdinalNumber>5</OrdinalNumber>
        <LegalEntityID>80978129</LegalEntityID>
        <CaseLegalEntityID>122828332</CaseLegalEntityID>
        <AuthenticationTypeID>1</AuthenticationTypeID>
        <AuthenticationTypeName>ת"ז</AuthenticationTypeName>
        <LegalEntityNumber>326956463</LegalEntityNumber>
        <IsMainPartyType>true</IsMainPartyType>
        <CaseDisplayIdentifier>28791-04-22</CaseDisplayIdentifier>
        <CaseTypeID>10048</CaseTypeID>
        <CaseTypeName>תיק פלילי (ת"פ)</CaseTypeName>
        <CaseName>מדינת ישראל נ' רודקוב</CaseName>
        <FullAddress>עוגן 15 אשקלון </FullAddress>
        <MotionID>0</MotionID>
        <CasePleaID>0</CasePleaID>
        <FatherName>בוריס</FatherName>
        <LinkedCaseID>0</LinkedCaseID>
        <PartyID>1</PartyID>
        <CasePartyCategoryID>2</CasePartyCategoryID>
        <LegalEntityAddressID>87447706</LegalEntityAddressID>
        <PleaTypeID>8</PleaTypeID>
        <GroupPartyAlias/>
        <IsConverted>false</IsConverted>
        <LegalEntityRegisteredNameID>10471875</LegalEntityRegisteredNameID>
        <LegalEntityNameID>94281432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רומן שילסולמן</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אלכסנדרה שילסולמן</FullName>
        <FirstName>אלכסנדרה</FirstName>
        <LastName>שילסולמן</LastName>
        <PartyPropertyName/>
        <AuthenticationTypeAndNumber>ת"ז 345722466</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250781700</CasePartyID>
        <PartyTypeID>4</PartyTypeID>
        <ActivityStatusID>1</ActivityStatusID>
        <PartyAliasID>101</PartyAliasID>
        <PartyAliasName>עד בית משפט</PartyAliasName>
        <OrdinalNumber>6</OrdinalNumber>
        <LegalEntityID>80978131</LegalEntityID>
        <CaseLegalEntityID>122828344</CaseLegalEntityID>
        <AuthenticationTypeID>1</AuthenticationTypeID>
        <AuthenticationTypeName>ת"ז</AuthenticationTypeName>
        <LegalEntityNumber>345722466</LegalEntityNumber>
        <IsMainPartyType>true</IsMainPartyType>
        <CaseDisplayIdentifier>28791-04-22</CaseDisplayIdentifier>
        <CaseTypeID>10048</CaseTypeID>
        <CaseTypeName>תיק פלילי (ת"פ)</CaseTypeName>
        <CaseName>מדינת ישראל נ' רודקוב</CaseName>
        <FullAddress>עוגן 15 אשקלון </FullAddress>
        <MotionID>0</MotionID>
        <CasePleaID>0</CasePleaID>
        <FatherName>אלכסנדר</FatherName>
        <LinkedCaseID>0</LinkedCaseID>
        <PartyID>1</PartyID>
        <CasePartyCategoryID>2</CasePartyCategoryID>
        <LegalEntityAddressID>87447708</LegalEntityAddressID>
        <PleaTypeID>8</PleaTypeID>
        <GroupPartyAlias/>
        <IsConverted>false</IsConverted>
        <LegalEntityRegisteredNameID>10471872</LegalEntityRegisteredNameID>
        <LegalEntityNameID>94281433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אלכסנדרה שילסולמן</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גריגורי שבנצקו</FullName>
        <FirstName>גריגורי</FirstName>
        <LastName>שבנצקו</LastName>
        <PartyPropertyName/>
        <AuthenticationTypeAndNumber>ת"ז </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250781400</CasePartyID>
        <PartyTypeID>4</PartyTypeID>
        <ActivityStatusID>1</ActivityStatusID>
        <PartyAliasID>71</PartyAliasID>
        <PartyAliasName>עד מאשימה</PartyAliasName>
        <OrdinalNumber>7</OrdinalNumber>
        <LegalEntityID>80978123</LegalEntityID>
        <CaseLegalEntityID>122828288</CaseLegalEntityID>
        <AuthenticationTypeID>1</AuthenticationTypeID>
        <AuthenticationTypeName>ת"ז</AuthenticationTypeName>
        <IsMainPartyType>true</IsMainPartyType>
        <CaseDisplayIdentifier>28791-04-22</CaseDisplayIdentifier>
        <CaseTypeID>10048</CaseTypeID>
        <CaseTypeName>תיק פלילי (ת"פ)</CaseTypeName>
        <CaseName>מדינת ישראל נ' רודקוב</CaseName>
        <FullAddress>שפירא 32\16 אשקלון </FullAddress>
        <MotionID>0</MotionID>
        <CasePleaID>0</CasePleaID>
        <LinkedCaseID>0</LinkedCaseID>
        <PartyID>1</PartyID>
        <CasePartyCategoryID>2</CasePartyCategoryID>
        <LegalEntityAddressID>87447691</LegalEntityAddressID>
        <PleaTypeID>8</PleaTypeID>
        <GroupPartyAlias/>
        <IsConverted>false</IsConverted>
        <LegalEntityNameID>94281414</LegalEntityNameID>
        <RepresentatedNamesOfAssistant/>
        <LegalEntityTypeID>1</LegalEntityTypeID>
        <IsVerdictExists>false</IsVerdictExists>
        <IsAsirAzir>false</IsAsirAzir>
        <IsPublicationProhibited>false</IsPublicationProhibited>
        <PublicationProhibitedFullName>גריגורי שבנצקו</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רס"מ מני חדד</FullName>
        <FirstName>רס"מ מני</FirstName>
        <LastName>חדד</LastName>
        <PartyPropertyName/>
        <AuthenticationTypeAndNumber>מספר שוטר 1204742</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253819951</CasePartyID>
        <PartyTypeID>4</PartyTypeID>
        <ActivityStatusID>1</ActivityStatusID>
        <PartyAliasID>71</PartyAliasID>
        <PartyAliasName>עד מאשימה</PartyAliasName>
        <OrdinalNumber>8</OrdinalNumber>
        <LegalEntityID>81125051</LegalEntityID>
        <CaseLegalEntityID>123771669</CaseLegalEntityID>
        <AuthenticationTypeID>34</AuthenticationTypeID>
        <AuthenticationTypeName>מספר שוטר</AuthenticationTypeName>
        <LegalEntityNumber>1204742</LegalEntityNumber>
        <IsMainPartyType>true</IsMainPartyType>
        <CaseDisplayIdentifier>28791-04-22</CaseDisplayIdentifier>
        <CaseTypeID>10048</CaseTypeID>
        <CaseTypeName>תיק פלילי (ת"פ)</CaseTypeName>
        <CaseName>מדינת ישראל נ' רודקוב</CaseName>
        <FullAddress>תחנת אשקלון אשקלון משטרת ישראל</FullAddress>
        <MotionID>0</MotionID>
        <CasePleaID>0</CasePleaID>
        <LinkedCaseID>0</LinkedCaseID>
        <PartyID>1</PartyID>
        <CasePartyCategoryID>2</CasePartyCategoryID>
        <LegalEntityAddressID>87737303</LegalEntityAddressID>
        <PleaTypeID>8</PleaTypeID>
        <GroupPartyAlias/>
        <IsConverted>false</IsConverted>
        <LegalEntityNameID>94641147</LegalEntityNameID>
        <RepresentatedNamesOfAssistant/>
        <LegalEntityTypeID>9</LegalEntityTypeID>
        <IsVerdictExists>false</IsVerdictExists>
        <IsAsirAzir>false</IsAsirAzir>
        <IsPublicationProhibited>false</IsPublicationProhibited>
        <PublicationProhibitedFullName>רס"מ מני חדד</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רס"מ אלכס שניטמן</FullName>
        <FirstName>רס"מ אלכס</FirstName>
        <LastName>שניטמן</LastName>
        <PartyPropertyName/>
        <AuthenticationTypeAndNumber>מספר אישי 1020429</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250781733</CasePartyID>
        <PartyTypeID>4</PartyTypeID>
        <ActivityStatusID>1</ActivityStatusID>
        <PartyAliasID>71</PartyAliasID>
        <PartyAliasName>עד מאשימה</PartyAliasName>
        <OrdinalNumber>9</OrdinalNumber>
        <LegalEntityID>80978133</LegalEntityID>
        <CaseLegalEntityID>122828353</CaseLegalEntityID>
        <AuthenticationTypeID>35</AuthenticationTypeID>
        <AuthenticationTypeName>מספר אישי</AuthenticationTypeName>
        <LegalEntityNumber>1020429</LegalEntityNumber>
        <IsMainPartyType>true</IsMainPartyType>
        <CaseDisplayIdentifier>28791-04-22</CaseDisplayIdentifier>
        <CaseTypeID>10048</CaseTypeID>
        <CaseTypeName>תיק פלילי (ת"פ)</CaseTypeName>
        <CaseName>מדינת ישראל נ' רודקוב</CaseName>
        <FullAddress>נשטרת ישראל תחנת אשקלון לכיש  באמצעות פמ"ד</FullAddress>
        <MotionID>0</MotionID>
        <CasePleaID>0</CasePleaID>
        <LinkedCaseID>0</LinkedCaseID>
        <PartyID>1</PartyID>
        <CasePartyCategoryID>2</CasePartyCategoryID>
        <LegalEntityAddressID>87447712</LegalEntityAddressID>
        <PleaTypeID>8</PleaTypeID>
        <GroupPartyAlias/>
        <IsConverted>false</IsConverted>
        <LegalEntityNameID>94281441</LegalEntityNameID>
        <RepresentatedNamesOfAssistant/>
        <LegalEntityTypeID>9</LegalEntityTypeID>
        <IsVerdictExists>false</IsVerdictExists>
        <IsAsirAzir>false</IsAsirAzir>
        <IsPublicationProhibited>false</IsPublicationProhibited>
        <PublicationProhibitedFullName>רס"מ אלכס שניטמן</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פקד איגור ליובשבסקי</FullName>
        <FirstName>פקד איגור</FirstName>
        <LastName>ליובשבסקי</LastName>
        <PartyPropertyName/>
        <AuthenticationTypeAndNumber>מספר שוטר 74134214</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256578038</CasePartyID>
        <PartyTypeID>4</PartyTypeID>
        <ActivityStatusID>1</ActivityStatusID>
        <PartyAliasID>71</PartyAliasID>
        <PartyAliasName>עד מאשימה</PartyAliasName>
        <OrdinalNumber>13</OrdinalNumber>
        <LegalEntityID>81257309</LegalEntityID>
        <CaseLegalEntityID>124628727</CaseLegalEntityID>
        <AuthenticationTypeID>34</AuthenticationTypeID>
        <AuthenticationTypeName>מספר שוטר</AuthenticationTypeName>
        <LegalEntityNumber>74134214</LegalEntityNumber>
        <IsMainPartyType>true</IsMainPartyType>
        <CaseDisplayIdentifier>28791-04-22</CaseDisplayIdentifier>
        <CaseTypeID>10048</CaseTypeID>
        <CaseTypeName>תיק פלילי (ת"פ)</CaseTypeName>
        <CaseName>מדינת ישראל נ' רודקוב</CaseName>
        <FullAddress>משטרת ישראל</FullAddress>
        <MotionID>0</MotionID>
        <CasePleaID>0</CasePleaID>
        <LinkedCaseID>0</LinkedCaseID>
        <PartyID>1</PartyID>
        <CasePartyCategoryID>2</CasePartyCategoryID>
        <LegalEntityAddressID>88001129</LegalEntityAddressID>
        <PleaTypeID>8</PleaTypeID>
        <GroupPartyAlias/>
        <IsConverted>false</IsConverted>
        <LegalEntityNameID>94968801</LegalEntityNameID>
        <RepresentatedNamesOfAssistant/>
        <LegalEntityTypeID>9</LegalEntityTypeID>
        <IsVerdictExists>false</IsVerdictExists>
        <IsAsirAzir>false</IsAsirAzir>
        <IsPublicationProhibited>false</IsPublicationProhibited>
        <PublicationProhibitedFullName>פקד איגור ליובשבסקי</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רומן שמטקו</FullName>
        <FirstName>רומן</FirstName>
        <LastName>שמטקו</LastName>
        <PartyPropertyName/>
        <AuthenticationTypeAndNumber>ת"ז 345210538</AuthenticationTypeAndNumber>
        <RepresentatedOrRepresentativesNames/>
        <RepresentatedOrRepresentativesCount>0</RepresentatedOrRepresentativesCount>
        <InvitedBy/>
        <CaseID>79207831</CaseID>
        <CaseJudicialPersonPresentationDS>
          <CaseJudicalPersonActive>
            <CaseID>79207831</CaseID>
            <JudicialPersonID>027983048@GOV.IL</JudicialPersonID>
            <JudicialPersonTypeID>1</JudicialPersonTypeID>
            <JudicialTypeID>1</JudicialTypeID>
            <IsChairman>false</IsChairman>
            <TreatmentStartDate>2023-02-20T09:37:56.513+02:00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253820025</CasePartyID>
        <PartyTypeID>4</PartyTypeID>
        <ActivityStatusID>1</ActivityStatusID>
        <PartyAliasID>71</PartyAliasID>
        <PartyAliasName>עד מאשימה</PartyAliasName>
        <OrdinalNumber>15</OrdinalNumber>
        <LegalEntityID>79570300</LegalEntityID>
        <CaseLegalEntityID>123771685</CaseLegalEntityID>
        <AuthenticationTypeID>1</AuthenticationTypeID>
        <AuthenticationTypeName>ת"ז</AuthenticationTypeName>
        <LegalEntityNumber>345210538</LegalEntityNumber>
        <IsMainPartyType>true</IsMainPartyType>
        <CaseDisplayIdentifier>28791-04-22</CaseDisplayIdentifier>
        <CaseTypeID>10048</CaseTypeID>
        <CaseTypeName>תיק פלילי (ת"פ)</CaseTypeName>
        <CaseName>מדינת ישראל נ' רודקוב</CaseName>
        <FullAddress>באמצעות המאשימה</FullAddress>
        <MotionID>0</MotionID>
        <CasePleaID>0</CasePleaID>
        <FatherName>פבל</FatherName>
        <LinkedCaseID>0</LinkedCaseID>
        <PartyID>1</PartyID>
        <CasePartyCategoryID>2</CasePartyCategoryID>
        <LegalEntityAddressID>87737312</LegalEntityAddressID>
        <PleaTypeID>8</PleaTypeID>
        <GroupPartyAlias/>
        <IsConverted>false</IsConverted>
        <LegalEntityRegisteredNameID>9422759</LegalEntityRegisteredNameID>
        <LegalEntityNameID>94641157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רומן שמטקו</PublicationProhibitedFullName>
      </CaseParties>
    </CasePartiesSelectionDS>
    <CaseName>מדינת ישראל נ' רודקוב</CaseName>
    <CaseDisplayIdentifier>28791-04-22</CaseDisplayIdentifier>
    <CaseTypeShortName>ת"פ</CaseTypeShortName>
  </dt_DecisionCase>
  <dt_DecisionJudgePanel>
    <JudgeID>027983048@GOV.IL</JudgeID>
    <DisplayName>אלון גביזון</DisplayName>
    <RoleName>שופט</RoleName>
    <UserTitleName>שופט</UserTitleName>
  </dt_DecisionJudgePanel>
  <dt_LegalEntityDetails>
    <Fax/>
    <Phone/>
    <AddressDesc/>
    <PartyID>1</PartyID>
    <PartyTypeID>3</PartyTypeID>
    <DecisionID>0</DecisionID>
    <AssistantRoleID>12</AssistantRoleID>
    <StreetName>ניצנים 1/4</StreetName>
    <CityName>אשקלון</CityName>
    <FullName>אלכסנדר זובקוב</FullName>
    <Email/>
    <IsPublicationProhibited>false</IsPublicationProhibited>
  </dt_LegalEntityDetails>
  <dt_LegalEntityDetails>
    <Fax>072-2810400</Fax>
    <Phone>08-6750457</Phone>
    <PartyID>2</PartyID>
    <PartyTypeID>2</PartyTypeID>
    <DecisionID>0</DecisionID>
    <StreetName>לכיש 10/1 דירה 5</StreetName>
    <ZipCode>78714</ZipCode>
    <CityName>אשקלון</CityName>
    <FullName>דוגמן דמיטרי</FullName>
    <Email>dugman2@walla.com</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08-9194026</Fax>
    <Phone>02-6225466</Phone>
    <AddressDesc>אגף האסיר</AddressDesc>
    <PartyID>1</PartyID>
    <PartyTypeID>3</PartyTypeID>
    <DecisionID>0</DecisionID>
    <AssistantRoleID>13</AssistantRoleID>
    <StreetName>שמעון יצחק אפרייט, נציבות שב"ס</StreetName>
    <CityName>רמלה</CityName>
    <FullName> שירות בתי הסוהר - מחלקת האסיר</FullName>
    <Email>m.asir@ips.gov.il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AddressDesc>רוח במדבר</AddressDesc>
    <PartyID>2</PartyID>
    <PartyTypeID>1</PartyTypeID>
    <DecisionID>0</DecisionID>
    <FullName>יבגני רודקוב</FullName>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אלון גביזון</CaseJudicalPerson>
  </dt_CaseJudicalPersonActive>
  <dt_Sitting>
    <FutureSittingDate>2023-12-10T14:00:00+02:00</FutureSittingDate>
    <PreviousMeetingDate>2023-10-12T16:00:00+03:00</PreviousMeetingDate>
    <NextSittingTypeID>35</NextSittingTypeID>
    <PreviousSittingTypeID>35</PreviousSittingTypeID>
    <NextMeetingDisplayName>שופט אלון גביזון</NextMeetingDisplayName>
    <NextMeetingRoleName>שופט</NextMeetingRoleName>
    <NextMeetingUserTitleName>שופט</NextMeetingUserTitleName>
    <NextMeetingUserUPN>027983048@GOV.IL</NextMeetingUserUPN>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Props1.xml><?xml version="1.0" encoding="utf-8"?>
<ds:datastoreItem xmlns:ds="http://schemas.openxmlformats.org/officeDocument/2006/customXml" ds:itemID="{1EF6AF11-C86C-4CDB-9E8A-C3267871870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4384</Words>
  <Characters>21925</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2023-12-10T10:26:00Z</cp:lastPrinted>
  <dcterms:created xsi:type="dcterms:W3CDTF">2024-11-06T10:58:00Z</dcterms:created>
  <dcterms:modified xsi:type="dcterms:W3CDTF">2024-11-06T10:58:00Z</dcterms:modified>
</cp:coreProperties>
</file>